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橡胶林近自然化改造生态效益评估报告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/>
        </w:rPr>
        <w:t>三亚市天涯区橡胶林近自然化改造和农田提升监测平台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</w:rPr>
        <w:t>统计周期：2026-04-10 至 2026-04-16</w:t>
      </w:r>
    </w:p>
    <w:p>
      <w:r>
        <w:br w:type="page"/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??</w:t>
      </w:r>
    </w:p>
    <w:p>
      <w:pPr>
        <w:spacing w:before="0" w:after="0" w:line="240" w:lineRule="auto"/>
        <w:ind w:firstLine="480" w:left="0"/>
      </w:pPr>
      <w:r>
        <w:rPr>
          <w:rFonts w:ascii="Microsoft YaHei" w:hAnsi="Microsoft YaHei" w:eastAsia="Microsoft YaHei"/>
          <w:b w:val="0"/>
        </w:rPr>
        <w:t>?????</w:t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附录：数据图表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图1  监测期每日降雨量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88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图2  各监测点累计径流量对比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01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图3  水质关键指标平均值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图4  每日虫情捕获量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3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图5  主要虫种捕获量对比（Top 10）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图6  每日孢子捕获量趋势</w:t>
      </w:r>
    </w:p>
    <w:p>
      <w:r>
        <w:br w:type="page"/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附录：设备采集实景图像</w:t>
      </w:r>
    </w:p>
    <w:p>
      <w:r>
        <w:rPr>
          <w:rFonts w:ascii="Microsoft YaHei" w:hAnsi="Microsoft YaHei" w:eastAsia="Microsoft YaHei"/>
          <w:b w:val="0"/>
          <w:sz w:val="20"/>
        </w:rPr>
        <w:t>以下图像均来自各监测设备在报告周期内自动采集的实时照片，按设备分组、时间顺序排列。</w:t>
      </w:r>
    </w:p>
    <w:p>
      <w:pPr>
        <w:pStyle w:val="Heading2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一、虫情测报灯采集图像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[占位] 本监测周期未获取到虫情测报灯采集图像，当前保留附录位置占位。</w:t>
      </w:r>
    </w:p>
    <w:p>
      <w:pPr>
        <w:pStyle w:val="Heading2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二、孢子捕捉仪采集图像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[占位] 本监测周期未获取到孢子捕捉仪采集图像，当前保留附录位置占位。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/>
      <w:jc w:val="center"/>
    </w:pPr>
    <w:r>
      <w:rPr>
        <w:rFonts w:ascii="Microsoft YaHei" w:hAnsi="Microsoft YaHei" w:eastAsia="Microsoft YaHei"/>
      </w:rPr>
      <w:t xml:space="preserve">第 </w:t>
    </w:r>
    <w:r>
      <w:rPr>
        <w:rFonts w:ascii="Microsoft YaHei" w:hAnsi="Microsoft YaHei" w:eastAsia="Microsoft YaHei"/>
      </w:rPr>
      <w:fldChar w:fldCharType="begin" w:dirty="true"/>
    </w:r>
    <w:r>
      <w:rPr>
        <w:rFonts w:ascii="Microsoft YaHei" w:hAnsi="Microsoft YaHei" w:eastAsia="Microsoft YaHei"/>
      </w:rPr>
      <w:instrText xml:space="preserve"> PAGE </w:instrText>
    </w:r>
    <w:r>
      <w:rPr>
        <w:rFonts w:ascii="Microsoft YaHei" w:hAnsi="Microsoft YaHei" w:eastAsia="Microsoft YaHei"/>
      </w:rPr>
      <w:fldChar w:fldCharType="separate"/>
    </w:r>
    <w:r>
      <w:rPr>
        <w:rFonts w:ascii="Microsoft YaHei" w:hAnsi="Microsoft YaHei" w:eastAsia="Microsoft YaHei"/>
      </w:rPr>
      <w:t>1</w:t>
    </w:r>
    <w:r>
      <w:rPr>
        <w:rFonts w:ascii="Microsoft YaHei" w:hAnsi="Microsoft YaHei" w:eastAsia="Microsoft YaHei"/>
      </w:rPr>
      <w:fldChar w:fldCharType="end"/>
    </w:r>
    <w:r>
      <w:rPr>
        <w:rFonts w:ascii="Microsoft YaHei" w:hAnsi="Microsoft YaHei" w:eastAsia="Microsoft YaHei"/>
      </w:rPr>
      <w:t xml:space="preserve"> / </w:t>
    </w:r>
    <w:r>
      <w:rPr>
        <w:rFonts w:ascii="Microsoft YaHei" w:hAnsi="Microsoft YaHei" w:eastAsia="Microsoft YaHei"/>
      </w:rPr>
      <w:fldChar w:fldCharType="begin" w:dirty="true"/>
    </w:r>
    <w:r>
      <w:rPr>
        <w:rFonts w:ascii="Microsoft YaHei" w:hAnsi="Microsoft YaHei" w:eastAsia="Microsoft YaHei"/>
      </w:rPr>
      <w:instrText xml:space="preserve"> NUMPAGES </w:instrText>
    </w:r>
    <w:r>
      <w:rPr>
        <w:rFonts w:ascii="Microsoft YaHei" w:hAnsi="Microsoft YaHei" w:eastAsia="Microsoft YaHei"/>
      </w:rPr>
      <w:fldChar w:fldCharType="separate"/>
    </w:r>
    <w:r>
      <w:rPr>
        <w:rFonts w:ascii="Microsoft YaHei" w:hAnsi="Microsoft YaHei" w:eastAsia="Microsoft YaHei"/>
      </w:rPr>
      <w:t>1</w:t>
    </w:r>
    <w:r>
      <w:rPr>
        <w:rFonts w:ascii="Microsoft YaHei" w:hAnsi="Microsoft YaHei" w:eastAsia="Microsoft YaHei"/>
      </w:rPr>
      <w:fldChar w:fldCharType="end"/>
    </w:r>
    <w:r>
      <w:rPr>
        <w:rFonts w:ascii="Microsoft YaHei" w:hAnsi="Microsoft YaHei" w:eastAsia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