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/>
          <w:i w:val="0"/>
          <w:sz w:val="36"/>
        </w:rPr>
        <w:t>散射项修正：Langlands 常数项矩阵与 ζ_K 零点对应</w:t>
      </w:r>
    </w:p>
    <w:p>
      <w:pPr>
        <w:spacing w:after="200"/>
        <w:jc w:val="center"/>
      </w:pPr>
      <w:r>
        <w:rPr>
          <w:rFonts w:ascii="Times New Roman" w:hAnsi="Times New Roman" w:eastAsia="楷体"/>
          <w:b w:val="0"/>
          <w:i w:val="0"/>
          <w:sz w:val="24"/>
        </w:rPr>
        <w:t>——基于 Arthur 稳定迹、Jacquet–Langlands 对应与测地流指数混合的谱对偶论证 10 第 2.2 节与第 5 节修正稿</w:t>
      </w:r>
    </w:p>
    <w:p>
      <w:pPr>
        <w:spacing w:after="40"/>
        <w:jc w:val="center"/>
      </w:pPr>
      <w:r>
        <w:rPr>
          <w:rFonts w:ascii="Times New Roman" w:hAnsi="Times New Roman" w:eastAsia="楷体"/>
          <w:b w:val="0"/>
          <w:i w:val="0"/>
          <w:sz w:val="21"/>
        </w:rPr>
        <w:t>刘旭东　刘高源　王芳　刘晓春</w:t>
      </w:r>
    </w:p>
    <w:p>
      <w:pPr>
        <w:spacing w:after="40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温州有名机械科技有限公司　中航无人机　南京理工大学　成都中医药大学</w:t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2026 年 10 月 17 日</w:t>
      </w:r>
    </w:p>
    <w:p>
      <w:pPr>
        <w:spacing w:before="0" w:after="0"/>
      </w:pPr>
      <w:r>
        <w:rPr>
          <w:rFonts w:ascii="Times New Roman" w:hAnsi="Times New Roman" w:eastAsia="黑体"/>
          <w:b/>
          <w:i w:val="0"/>
          <w:sz w:val="21"/>
        </w:rPr>
        <w:t>摘要：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本文对《基于 Arthur 稳定迹、Jacquet–Langlands 对应与测地流指数混合的谱对偶论证 10》（下称“论证 10”）第 2.2 节的连续谱散射项 Cont(f) 与第 5.1、5.3 节“散射矩阵极点仅位于负偶数、只对应 ζ(s) 平凡零点”的断言作领域性修正。修正要点：</w:t>
      </w:r>
      <w:r>
        <w:rPr>
          <w:rFonts w:ascii="Times New Roman" w:hAnsi="Times New Roman" w:eastAsia="宋体"/>
          <w:b w:val="0"/>
          <w:i w:val="0"/>
          <w:sz w:val="21"/>
        </w:rPr>
        <w:t>（1）实二次域 K=Q(√5) 的 PSL₂(O_K) 单嵌入 H³ 商为无限体积，紧型迹公式框架失效，载体改为双实嵌入 Hilbert 模曲面 X=SL₂(O_K)＼(H²×H²)；</w:t>
      </w:r>
      <w:r>
        <w:rPr>
          <w:rFonts w:ascii="Times New Roman" w:hAnsi="Times New Roman" w:eastAsia="宋体"/>
          <w:b w:val="0"/>
          <w:i w:val="0"/>
          <w:sz w:val="21"/>
        </w:rPr>
        <w:t>（2）按 Langlands 常数项矩阵理论，X 为单尖点（类数＝窄类数＝1），散射系数为标量 φ(s)=Λ_K(2s−1)/Λ_K(2s)，其中 Λ_K(s)=π^(−s)Γ(s/2)²ζ_K(s)；</w:t>
      </w:r>
      <w:r>
        <w:rPr>
          <w:rFonts w:ascii="Times New Roman" w:hAnsi="Times New Roman" w:eastAsia="宋体"/>
          <w:b w:val="0"/>
          <w:i w:val="0"/>
          <w:sz w:val="21"/>
        </w:rPr>
        <w:t>（3）φ(s) 的极点位于 s=ρ/2，ρ 遍历 ζ_K 的全部非平凡零点；由 ζ_K=ζ·L(χ₅)，L(χ₅) 的非平凡零点全部进入散射数据，论证 10 的判据错误；</w:t>
      </w:r>
      <w:r>
        <w:rPr>
          <w:rFonts w:ascii="Times New Roman" w:hAnsi="Times New Roman" w:eastAsia="宋体"/>
          <w:b w:val="0"/>
          <w:i w:val="0"/>
          <w:sz w:val="21"/>
        </w:rPr>
        <w:t>（4）修正后的连续谱项为 Cont(h)=−(1/4π)∫(φ′/φ)(1/2+ir)h(r)dr，谱参数化 λ=2(1/4+r²)；</w:t>
      </w:r>
      <w:r>
        <w:rPr>
          <w:rFonts w:ascii="Times New Roman" w:hAnsi="Times New Roman" w:eastAsia="宋体"/>
          <w:b w:val="0"/>
          <w:i w:val="0"/>
          <w:sz w:val="21"/>
        </w:rPr>
        <w:t>（5）结合 OpenAI 关于 ζ 与全部 Dirichlet L-函数在 Re(s)&gt;7/8 零自由半平面的结果，ζ_K 在 Re(s)&gt;7/8 无零点，故 φ(s) 在 Re(s)&gt;7/16 无极点。</w:t>
      </w:r>
    </w:p>
    <w:p>
      <w:pPr>
        <w:spacing w:before="0" w:after="0"/>
      </w:pPr>
      <w:r>
        <w:rPr>
          <w:rFonts w:ascii="Times New Roman" w:hAnsi="Times New Roman" w:eastAsia="黑体"/>
          <w:b/>
          <w:i w:val="0"/>
          <w:sz w:val="21"/>
        </w:rPr>
        <w:t>关键词：</w:t>
      </w:r>
    </w:p>
    <w:p>
      <w:pPr>
        <w:spacing w:before="0" w:after="0"/>
      </w:pPr>
      <w:r>
        <w:rPr>
          <w:rFonts w:ascii="Times New Roman" w:hAnsi="Times New Roman" w:eastAsia="宋体"/>
          <w:b w:val="0"/>
          <w:i w:val="0"/>
          <w:sz w:val="21"/>
        </w:rPr>
        <w:t>散射矩阵；Eisenstein 级数；常数项矩阵；Dedekind zeta 函数；Dirichlet L-函数；Hilbert 模曲面；准黎曼猜想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1　引言与结论摘要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1.1　修正对象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论证 10 第 2.2 节给出连续谱项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/>
          <w:sz w:val="21"/>
        </w:rPr>
        <w:t>Cont</w:t>
      </w:r>
      <w:r>
        <w:rPr>
          <w:rFonts w:ascii="Times New Roman" w:hAnsi="Times New Roman" w:eastAsia="宋体"/>
          <w:b w:val="0"/>
          <w:i w:val="0"/>
          <w:sz w:val="21"/>
        </w:rPr>
        <w:t xml:space="preserve">(f) = </w:t>
      </w:r>
      <w:r>
        <w:rPr>
          <w:rFonts w:ascii="Times New Roman" w:hAnsi="Times New Roman" w:eastAsia="宋体"/>
          <w:b w:val="0"/>
          <w:i w:val="0"/>
          <w:sz w:val="21"/>
        </w:rPr>
        <w:t>1/(4πi) ∫</w:t>
      </w:r>
      <w:r>
        <w:rPr>
          <w:rFonts w:ascii="Times New Roman" w:hAnsi="Times New Roman" w:eastAsia="宋体"/>
          <w:b w:val="0"/>
          <w:i/>
          <w:sz w:val="21"/>
          <w:vertAlign w:val="subscript"/>
        </w:rPr>
        <w:t>−∞</w:t>
      </w:r>
      <w:r>
        <w:t>+∞</w:t>
      </w:r>
      <w:r>
        <w:rPr>
          <w:rFonts w:ascii="Times New Roman" w:hAnsi="Times New Roman" w:eastAsia="宋体"/>
          <w:b w:val="0"/>
          <w:i w:val="0"/>
          <w:sz w:val="21"/>
        </w:rPr>
        <w:t xml:space="preserve"> (φ′/φ)(1/2+ir) f(1/4+r²) dr</w:t>
      </w:r>
      <w:r>
        <w:rPr>
          <w:rFonts w:ascii="Times New Roman" w:hAnsi="Times New Roman" w:eastAsia="宋体"/>
          <w:b w:val="0"/>
          <w:i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ab/>
        <w:t>（1）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并注明“散射矩阵极点仅位于负偶数，只对应 ζ(s) 平凡零点，对非平凡零点实部无约束”；第 5.1 节与第 5.3 节重复同一断言，并据此在约化显式公式时将 Cont(f) 视为与黎曼假设（RH）无关而剔除。本文表明该处理存在四项领域性错误：载体无效、散射对象错误、谱参数化错配、极点—零点对应被误判。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1.2　核心结论</w:t>
      </w:r>
    </w:p>
    <w:p>
      <w:pPr>
        <w:spacing w:before="0" w:after="0"/>
        <w:ind w:firstLine="420"/>
      </w:pPr>
      <w:r>
        <w:rPr>
          <w:rFonts w:ascii="Times New Roman" w:hAnsi="Times New Roman" w:eastAsia="黑体"/>
          <w:b/>
          <w:i w:val="0"/>
          <w:sz w:val="21"/>
        </w:rPr>
        <w:t>结论 1（载体）。</w:t>
      </w:r>
      <w:r>
        <w:rPr>
          <w:rFonts w:ascii="Times New Roman" w:hAnsi="Times New Roman" w:eastAsia="宋体"/>
          <w:b w:val="0"/>
          <w:i w:val="0"/>
          <w:sz w:val="21"/>
        </w:rPr>
        <w:t>K=Q(√5) 为实二次域，PSL₂(O_K) 单嵌入 PSL₂(C) 的商 Γ＼H³ 无限体积，不满足论证 10 所用迹公式的框架前提；正确载体是双实嵌入 Hilbert 模曲面 X=SL₂(O_K)＼(H²×H²)。</w:t>
      </w:r>
    </w:p>
    <w:p>
      <w:pPr>
        <w:spacing w:before="0" w:after="0"/>
        <w:ind w:firstLine="420"/>
      </w:pPr>
      <w:r>
        <w:rPr>
          <w:rFonts w:ascii="Times New Roman" w:hAnsi="Times New Roman" w:eastAsia="黑体"/>
          <w:b/>
          <w:i w:val="0"/>
          <w:sz w:val="21"/>
        </w:rPr>
        <w:t>结论 2（散射系数）。</w:t>
      </w:r>
      <w:r>
        <w:rPr>
          <w:rFonts w:ascii="Times New Roman" w:hAnsi="Times New Roman" w:eastAsia="宋体"/>
          <w:b w:val="0"/>
          <w:i w:val="0"/>
          <w:sz w:val="21"/>
        </w:rPr>
        <w:t>X 只有一个尖点，散射矩阵为 1×1，φ(s)=Λ_K(2s−1)/Λ_K(2s)，Λ_K(s)=π^(−s)Γ(s/2)²ζ_K(s)。</w:t>
      </w:r>
    </w:p>
    <w:p>
      <w:pPr>
        <w:spacing w:before="0" w:after="0"/>
        <w:ind w:firstLine="420"/>
      </w:pPr>
      <w:r>
        <w:rPr>
          <w:rFonts w:ascii="Times New Roman" w:hAnsi="Times New Roman" w:eastAsia="黑体"/>
          <w:b/>
          <w:i w:val="0"/>
          <w:sz w:val="21"/>
        </w:rPr>
        <w:t>结论 3（极点—零点对应）。</w:t>
      </w:r>
      <w:r>
        <w:rPr>
          <w:rFonts w:ascii="Times New Roman" w:hAnsi="Times New Roman" w:eastAsia="宋体"/>
          <w:b w:val="0"/>
          <w:i w:val="0"/>
          <w:sz w:val="21"/>
        </w:rPr>
        <w:t>φ 的非平凡极点恰为 {ρ/2：ρ∈Z(ζ_K)}；ζ_K=ζ·L(χ₅) 使 L(χ₅) 的零点进入散射数据。“散射只对应平凡零点”不成立。</w:t>
      </w:r>
    </w:p>
    <w:p>
      <w:pPr>
        <w:spacing w:before="0" w:after="0"/>
        <w:ind w:firstLine="420"/>
      </w:pPr>
      <w:r>
        <w:rPr>
          <w:rFonts w:ascii="Times New Roman" w:hAnsi="Times New Roman" w:eastAsia="黑体"/>
          <w:b/>
          <w:i w:val="0"/>
          <w:sz w:val="21"/>
        </w:rPr>
        <w:t>结论 4（修正公式）。</w:t>
      </w:r>
      <w:r>
        <w:rPr>
          <w:rFonts w:ascii="Times New Roman" w:hAnsi="Times New Roman" w:eastAsia="宋体"/>
          <w:b w:val="0"/>
          <w:i w:val="0"/>
          <w:sz w:val="21"/>
        </w:rPr>
        <w:t>Cont(h)=−(1/4π)∫(φ′/φ)(1/2+ir)h(r)dr，h 为谱检验函数，谱参数化 λ=2(1/4+r²)。</w:t>
      </w:r>
    </w:p>
    <w:p>
      <w:pPr>
        <w:spacing w:before="0" w:after="0"/>
        <w:ind w:firstLine="420"/>
      </w:pPr>
      <w:r>
        <w:rPr>
          <w:rFonts w:ascii="Times New Roman" w:hAnsi="Times New Roman" w:eastAsia="黑体"/>
          <w:b/>
          <w:i w:val="0"/>
          <w:sz w:val="21"/>
        </w:rPr>
        <w:t>结论 5（推论）。</w:t>
      </w:r>
      <w:r>
        <w:rPr>
          <w:rFonts w:ascii="Times New Roman" w:hAnsi="Times New Roman" w:eastAsia="宋体"/>
          <w:b w:val="0"/>
          <w:i w:val="0"/>
          <w:sz w:val="21"/>
        </w:rPr>
        <w:t>OpenAI 的 7/8 零自由半平面结果给出 φ(s) 在 Re(s)&gt;7/16 无极点。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2　载体与谱结构的修正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2.1　H³ 单嵌入的失效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K=Q(√5)，O_K=Z[(1+√5)/2]，Γ=PSL₂(O_K)。论证 10 将 Γ 经单一实嵌入 σ₁：K→R⊂C 映入 PSL₂(C)，作用于 H³。对实二次域，该单嵌入不是算术双曲结构的良好选取：Γ＼H³ 是无限体积的（Γ 在 H³ 上不共体积，商空间含无限体积端），其 Laplace 谱以连续谱为主导，论证 10 所用“离散谱加权和＝几何轨道加权和＋椭圆项＋Cont”的紧型迹公式形态不适用。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这与《保序双射定理 10》对 H³ 单嵌入长度公式 ℓ(γ)=log Nm 的判死结论一致：该恒等式在实二次域单嵌入下仅有平凡解，根源在于“复共轭＝域自同构”的机制只在虚二次 Bianchi 群中成立；实二次域的第二个实嵌入 σ₂ 与双曲等距的特征值复模是两套不相干的运算。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2.2　Hilbert 模曲面 X=SL₂(O_K)＼(H²×H²)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正确载体：双实嵌入 σ=(σ₁,σ₂)，Γ=SL₂(O_K)⊂PSL₂(R)×PSL₂(R)，X=Γ＼(H²×H²)。X 为有限体积 Hilbert 模曲面、非紧、有尖点。测地线长度按两因子位移的勾股组合（真实周期）或分量对数之和（重参数化）定义；长度—范数恒等式 ℓ₁+ℓ₂=log Nm(p) 在分量对数口径下逐点成立（《保序双射定理 10》定理 3.3，数值验证偏差不大于 10^(−15)）。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2.3　Laplace 谱结构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Δ=Δ₁+Δ₂ 为 L²(X) 上无界自伴算子。连续谱：由 Eisenstein 级数系生成；对角 Eisenstein 级数 E(z₁,z₂;s) 满足 ΔE=2s(1−s)E，Re s=1/2 时 λ=2(1/4+r²)≥1/2，故连续谱为 [1/2,∞)（无条件定理）。离散谱：尖点形式与剩余谱；谱隙（λ₁≥1/4）为 Selberg 猜想，对 SL₂(O_K) 开放（无条件最好下界 Kim–Sarnak 975/4096≈0.238）。论证 10 把连续谱参数化写作 f(1/4+r²) 是 H² 单因子口径，与 X 不符。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　Langlands 常数项矩阵：一般框架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3.1　尖点与 Eisenstein 级数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设 Γ 为有限体积、非紧算术群，尖点集记 Cusp(Γ)。对尖点 a，Eisenstein 级数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/>
          <w:sz w:val="21"/>
        </w:rPr>
        <w:t>E</w:t>
      </w:r>
      <w:r>
        <w:rPr>
          <w:rFonts w:ascii="Times New Roman" w:hAnsi="Times New Roman" w:eastAsia="宋体"/>
          <w:b w:val="0"/>
          <w:i/>
          <w:sz w:val="21"/>
          <w:vertAlign w:val="subscript"/>
        </w:rPr>
        <w:t>a</w:t>
      </w:r>
      <w:r>
        <w:rPr>
          <w:rFonts w:ascii="Times New Roman" w:hAnsi="Times New Roman" w:eastAsia="宋体"/>
          <w:b w:val="0"/>
          <w:i w:val="0"/>
          <w:sz w:val="21"/>
        </w:rPr>
        <w:t>(z;s)=Σ</w:t>
      </w:r>
      <w:r>
        <w:rPr>
          <w:rFonts w:ascii="Times New Roman" w:hAnsi="Times New Roman" w:eastAsia="宋体"/>
          <w:b w:val="0"/>
          <w:i/>
          <w:sz w:val="21"/>
          <w:vertAlign w:val="subscript"/>
        </w:rPr>
        <w:t>γ∈Γ_a＼Γ</w:t>
      </w:r>
      <w:r>
        <w:rPr>
          <w:rFonts w:ascii="Times New Roman" w:hAnsi="Times New Roman" w:eastAsia="宋体"/>
          <w:b w:val="0"/>
          <w:i w:val="0"/>
          <w:sz w:val="21"/>
        </w:rPr>
        <w:t xml:space="preserve"> h</w:t>
      </w:r>
      <w:r>
        <w:rPr>
          <w:rFonts w:ascii="Times New Roman" w:hAnsi="Times New Roman" w:eastAsia="宋体"/>
          <w:b w:val="0"/>
          <w:i/>
          <w:sz w:val="21"/>
          <w:vertAlign w:val="subscript"/>
        </w:rPr>
        <w:t>a</w:t>
      </w:r>
      <w:r>
        <w:rPr>
          <w:rFonts w:ascii="Times New Roman" w:hAnsi="Times New Roman" w:eastAsia="宋体"/>
          <w:b w:val="0"/>
          <w:i w:val="0"/>
          <w:sz w:val="21"/>
        </w:rPr>
        <w:t>(γz)</w:t>
      </w:r>
      <w:r>
        <w:rPr>
          <w:rFonts w:ascii="Times New Roman" w:hAnsi="Times New Roman" w:eastAsia="宋体"/>
          <w:b w:val="0"/>
          <w:i/>
          <w:sz w:val="21"/>
        </w:rPr>
        <w:t>s</w:t>
      </w:r>
      <w:r>
        <w:rPr>
          <w:rFonts w:ascii="Times New Roman" w:hAnsi="Times New Roman" w:eastAsia="宋体"/>
          <w:b w:val="0"/>
          <w:i w:val="0"/>
          <w:sz w:val="21"/>
        </w:rPr>
        <w:tab/>
        <w:t>（2）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其中 h_a 为 a 方向的高度函数。Re s&gt;1 时绝对收敛，且亚纯延拓至全 s 平面（Langlands）。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3.2　常数项矩阵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E_a 沿尖点 b 的常数项（抛物 Fourier 展开第零项）为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(E</w:t>
      </w:r>
      <w:r>
        <w:rPr>
          <w:rFonts w:ascii="Times New Roman" w:hAnsi="Times New Roman" w:eastAsia="宋体"/>
          <w:b w:val="0"/>
          <w:i/>
          <w:sz w:val="21"/>
          <w:vertAlign w:val="subscript"/>
        </w:rPr>
        <w:t>a</w:t>
      </w:r>
      <w:r>
        <w:rPr>
          <w:rFonts w:ascii="Times New Roman" w:hAnsi="Times New Roman" w:eastAsia="宋体"/>
          <w:b w:val="0"/>
          <w:i w:val="0"/>
          <w:sz w:val="21"/>
        </w:rPr>
        <w:t>)</w:t>
      </w:r>
      <w:r>
        <w:rPr>
          <w:rFonts w:ascii="Times New Roman" w:hAnsi="Times New Roman" w:eastAsia="宋体"/>
          <w:b w:val="0"/>
          <w:i/>
          <w:sz w:val="21"/>
          <w:vertAlign w:val="subscript"/>
        </w:rPr>
        <w:t>b</w:t>
      </w:r>
      <w:r>
        <w:rPr>
          <w:rFonts w:ascii="Times New Roman" w:hAnsi="Times New Roman" w:eastAsia="宋体"/>
          <w:b w:val="0"/>
          <w:i w:val="0"/>
          <w:sz w:val="21"/>
        </w:rPr>
        <w:t>(z;s)=δ</w:t>
      </w:r>
      <w:r>
        <w:rPr>
          <w:rFonts w:ascii="Times New Roman" w:hAnsi="Times New Roman" w:eastAsia="宋体"/>
          <w:b w:val="0"/>
          <w:i/>
          <w:sz w:val="21"/>
          <w:vertAlign w:val="subscript"/>
        </w:rPr>
        <w:t>ab</w:t>
      </w:r>
      <w:r>
        <w:rPr>
          <w:rFonts w:ascii="Times New Roman" w:hAnsi="Times New Roman" w:eastAsia="宋体"/>
          <w:b w:val="0"/>
          <w:i w:val="0"/>
          <w:sz w:val="21"/>
        </w:rPr>
        <w:t>·h</w:t>
      </w:r>
      <w:r>
        <w:rPr>
          <w:rFonts w:ascii="Times New Roman" w:hAnsi="Times New Roman" w:eastAsia="宋体"/>
          <w:b w:val="0"/>
          <w:i/>
          <w:sz w:val="21"/>
          <w:vertAlign w:val="subscript"/>
        </w:rPr>
        <w:t>b</w:t>
      </w:r>
      <w:r>
        <w:rPr>
          <w:rFonts w:ascii="Times New Roman" w:hAnsi="Times New Roman" w:eastAsia="宋体"/>
          <w:b w:val="0"/>
          <w:i w:val="0"/>
          <w:sz w:val="21"/>
        </w:rPr>
        <w:t>(z)</w:t>
      </w:r>
      <w:r>
        <w:rPr>
          <w:rFonts w:ascii="Times New Roman" w:hAnsi="Times New Roman" w:eastAsia="宋体"/>
          <w:b w:val="0"/>
          <w:i/>
          <w:sz w:val="21"/>
        </w:rPr>
        <w:t>s</w:t>
      </w:r>
      <w:r>
        <w:rPr>
          <w:rFonts w:ascii="Times New Roman" w:hAnsi="Times New Roman" w:eastAsia="宋体"/>
          <w:b w:val="0"/>
          <w:i w:val="0"/>
          <w:sz w:val="21"/>
        </w:rPr>
        <w:t xml:space="preserve"> + φ</w:t>
      </w:r>
      <w:r>
        <w:rPr>
          <w:rFonts w:ascii="Times New Roman" w:hAnsi="Times New Roman" w:eastAsia="宋体"/>
          <w:b w:val="0"/>
          <w:i/>
          <w:sz w:val="21"/>
          <w:vertAlign w:val="subscript"/>
        </w:rPr>
        <w:t>ab</w:t>
      </w:r>
      <w:r>
        <w:rPr>
          <w:rFonts w:ascii="Times New Roman" w:hAnsi="Times New Roman" w:eastAsia="宋体"/>
          <w:b w:val="0"/>
          <w:i w:val="0"/>
          <w:sz w:val="21"/>
        </w:rPr>
        <w:t>(s)·h</w:t>
      </w:r>
      <w:r>
        <w:rPr>
          <w:rFonts w:ascii="Times New Roman" w:hAnsi="Times New Roman" w:eastAsia="宋体"/>
          <w:b w:val="0"/>
          <w:i/>
          <w:sz w:val="21"/>
          <w:vertAlign w:val="subscript"/>
        </w:rPr>
        <w:t>b</w:t>
      </w:r>
      <w:r>
        <w:rPr>
          <w:rFonts w:ascii="Times New Roman" w:hAnsi="Times New Roman" w:eastAsia="宋体"/>
          <w:b w:val="0"/>
          <w:i w:val="0"/>
          <w:sz w:val="21"/>
        </w:rPr>
        <w:t>(z)</w:t>
      </w:r>
      <w:r>
        <w:rPr>
          <w:rFonts w:ascii="Times New Roman" w:hAnsi="Times New Roman" w:eastAsia="宋体"/>
          <w:b w:val="0"/>
          <w:i/>
          <w:sz w:val="21"/>
        </w:rPr>
        <w:t>1−s</w:t>
      </w:r>
      <w:r>
        <w:rPr>
          <w:rFonts w:ascii="Times New Roman" w:hAnsi="Times New Roman" w:eastAsia="宋体"/>
          <w:b w:val="0"/>
          <w:i w:val="0"/>
          <w:sz w:val="21"/>
        </w:rPr>
        <w:t xml:space="preserve"> + O(…)，</w:t>
      </w:r>
      <w:r>
        <w:rPr>
          <w:rFonts w:ascii="Times New Roman" w:hAnsi="Times New Roman" w:eastAsia="宋体"/>
          <w:b w:val="0"/>
          <w:i w:val="0"/>
          <w:sz w:val="21"/>
        </w:rPr>
        <w:tab/>
        <w:t>（3）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Φ(s)=(φ_ab(s)) 为常数项矩阵（散射矩阵）。基本性质：函数方程 Φ(s)Φ(1−s)=I；酉性 Φ(1−s̄)=Φ(s)*；以及 E_a(z;s)=Σ_b φ_ab(s)·E_b(z;1−s)。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3.3　迹公式中的连续谱项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L² 谱分解（Langlands）：L²(X)=L²_disc⊕L²_cont，连续谱部分由 E_a(·;1/2+ir)（a∈Cusp(Γ)，r∈R）展开。Selberg/Arthur 迹公式中连续谱贡献的标准形式（Hejhal 单尖点标量版；Langlands 多尖点矩阵版）为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−1/(4π) ∫</w:t>
      </w:r>
      <w:r>
        <w:rPr>
          <w:rFonts w:ascii="Times New Roman" w:hAnsi="Times New Roman" w:eastAsia="宋体"/>
          <w:b w:val="0"/>
          <w:i/>
          <w:sz w:val="21"/>
          <w:vertAlign w:val="subscript"/>
        </w:rPr>
        <w:t>−∞</w:t>
      </w:r>
      <w:r>
        <w:t>+∞</w:t>
      </w:r>
      <w:r>
        <w:rPr>
          <w:rFonts w:ascii="Times New Roman" w:hAnsi="Times New Roman" w:eastAsia="宋体"/>
          <w:b w:val="0"/>
          <w:i w:val="0"/>
          <w:sz w:val="21"/>
        </w:rPr>
        <w:t xml:space="preserve"> tr(Φ′(1/2+ir)Φ(1/2+ir)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−1</w:t>
      </w:r>
      <w:r>
        <w:rPr>
          <w:rFonts w:ascii="Times New Roman" w:hAnsi="Times New Roman" w:eastAsia="宋体"/>
          <w:b w:val="0"/>
          <w:i w:val="0"/>
          <w:sz w:val="21"/>
        </w:rPr>
        <w:t>) h(r) dr。</w:t>
      </w:r>
      <w:r>
        <w:rPr>
          <w:rFonts w:ascii="Times New Roman" w:hAnsi="Times New Roman" w:eastAsia="宋体"/>
          <w:b w:val="0"/>
          <w:i w:val="0"/>
          <w:sz w:val="21"/>
        </w:rPr>
        <w:tab/>
        <w:t>（4）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单尖点时 tr 退化为标量 (φ′/φ)。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4　K=Q(√5) 情形：单尖点与散射系数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4.1　类数、窄类数与尖点计数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K=Q(√5)：类数 h_K=1；基本单位 φ_K=(1+√5)/2 满足 Nm(φ_K)=−1，故窄类数 h_K⁺=1。SL₂(O_K) 的尖点等价类与窄类群一一对应，因此 X 恰有一个尖点。常数项矩阵 Φ 为 1×1，散射数据退化为标量 φ(s)。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4.2　反射系数 φ(s)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取唯一尖点处的高度函数为 y₁y₂（zᵢ=xᵢ+iyᵢ）。Eisenstein 级数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/>
          <w:sz w:val="21"/>
        </w:rPr>
        <w:t>E</w:t>
      </w:r>
      <w:r>
        <w:rPr>
          <w:rFonts w:ascii="Times New Roman" w:hAnsi="Times New Roman" w:eastAsia="宋体"/>
          <w:b w:val="0"/>
          <w:i w:val="0"/>
          <w:sz w:val="21"/>
        </w:rPr>
        <w:t>(z₁,z₂;s)=Σ</w:t>
      </w:r>
      <w:r>
        <w:rPr>
          <w:rFonts w:ascii="Times New Roman" w:hAnsi="Times New Roman" w:eastAsia="宋体"/>
          <w:b w:val="0"/>
          <w:i/>
          <w:sz w:val="21"/>
          <w:vertAlign w:val="subscript"/>
        </w:rPr>
        <w:t>γ∈Γ_∞＼Γ</w:t>
      </w:r>
      <w:r>
        <w:rPr>
          <w:rFonts w:ascii="Times New Roman" w:hAnsi="Times New Roman" w:eastAsia="宋体"/>
          <w:b w:val="0"/>
          <w:i w:val="0"/>
          <w:sz w:val="21"/>
        </w:rPr>
        <w:t xml:space="preserve"> (y₁y₂)</w:t>
      </w:r>
      <w:r>
        <w:rPr>
          <w:rFonts w:ascii="Times New Roman" w:hAnsi="Times New Roman" w:eastAsia="宋体"/>
          <w:b w:val="0"/>
          <w:i/>
          <w:sz w:val="21"/>
        </w:rPr>
        <w:t>s</w:t>
      </w:r>
      <w:r>
        <w:rPr>
          <w:rFonts w:ascii="Times New Roman" w:hAnsi="Times New Roman" w:eastAsia="宋体"/>
          <w:b w:val="0"/>
          <w:i w:val="0"/>
          <w:sz w:val="21"/>
        </w:rPr>
        <w:t>(γ·(z₁,z₂))，Re s&gt;1。</w:t>
      </w:r>
      <w:r>
        <w:rPr>
          <w:rFonts w:ascii="Times New Roman" w:hAnsi="Times New Roman" w:eastAsia="宋体"/>
          <w:b w:val="0"/>
          <w:i w:val="0"/>
          <w:sz w:val="21"/>
        </w:rPr>
        <w:tab/>
        <w:t>（5）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其常数项由主项 (y₁y₂)^s 与反射项 φ(s)(y₁y₂)^(1−s) 组成。经标准常数项积分（附录 A），反射系数为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φ(s)=Λ_K(2s−1)/Λ_K(2s)，　Λ_K(s)=π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−s</w:t>
      </w:r>
      <w:r>
        <w:rPr>
          <w:rFonts w:ascii="Times New Roman" w:hAnsi="Times New Roman" w:eastAsia="宋体"/>
          <w:b w:val="0"/>
          <w:i w:val="0"/>
          <w:sz w:val="21"/>
        </w:rPr>
        <w:t>Γ(s/2)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2</w:t>
      </w:r>
      <w:r>
        <w:rPr>
          <w:rFonts w:ascii="Times New Roman" w:hAnsi="Times New Roman" w:eastAsia="宋体"/>
          <w:b w:val="0"/>
          <w:i w:val="0"/>
          <w:sz w:val="21"/>
        </w:rPr>
        <w:t>ζ_K(s)，</w:t>
      </w:r>
      <w:r>
        <w:rPr>
          <w:rFonts w:ascii="Times New Roman" w:hAnsi="Times New Roman" w:eastAsia="宋体"/>
          <w:b w:val="0"/>
          <w:i w:val="0"/>
          <w:sz w:val="21"/>
        </w:rPr>
        <w:tab/>
        <w:t>（6）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其中 Λ_K 为 K 的完备 Dedekind zeta 函数（两个实嵌入各贡献 Archimedean 因子 Γ_R(s)=π^(−s/2)Γ(s/2)）。与模曲面 PSL₂(Z)＼H² 情形 φ(s)=ξ(2s−1)/ξ(2s)（ξ(s)=π^(−s/2)Γ(s/2)ζ(s)）形式同构，Archimedean 因子按 [K:Q]=2 升级；判别式与 π 幂等常数因子不改变极点结构。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4.3　函数方程验证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由 Dedekind zeta 的函数方程 Λ_K(s)=Λ_K(1−s)：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φ(s)φ(1−s) = [Λ_K(2s−1)/Λ_K(2s)]·[Λ_K(1−2s)/Λ_K(2−2s)] = 1，</w:t>
      </w:r>
      <w:r>
        <w:rPr>
          <w:rFonts w:ascii="Times New Roman" w:hAnsi="Times New Roman" w:eastAsia="宋体"/>
          <w:b w:val="0"/>
          <w:i w:val="0"/>
          <w:sz w:val="21"/>
        </w:rPr>
        <w:tab/>
        <w:t>（7）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其中用到 Λ_K(2s−1)=Λ_K(2−2s) 与 Λ_K(1−2s)=Λ_K(2s)。该式与 Eisenstein 级数函数方程 E(z;s)=φ(s)E(z;1−s) 自洽。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5　极点—零点对应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5.1　φ(s) 的极点与 ζ_K 的零点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Λ_K 的零点即 ζ_K 的零点（含平凡与非平凡）。φ(s) 的极点来自 Λ_K(2s) 的零点：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2s=ρ　⟺　s=ρ/2，ρ∈Z(ζ_K)，</w:t>
      </w:r>
      <w:r>
        <w:rPr>
          <w:rFonts w:ascii="Times New Roman" w:hAnsi="Times New Roman" w:eastAsia="宋体"/>
          <w:b w:val="0"/>
          <w:i w:val="0"/>
          <w:sz w:val="21"/>
        </w:rPr>
        <w:tab/>
        <w:t>（8）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外加 Λ_K 在 0、1 的极点对应 s=0、1/2（连续谱底部，不在积分路径上）。故 φ 的非平凡极点集为 {ρ/2：ρ∈Z(ζ_K) 非平凡}。由此得到 RH 的散射表述：ζ_K 满足 K-GRH（Re ρ=1/2）当且仅当 φ(s) 的全部非平凡极点位于直线 Re(s)=1/4。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5.2　L(χ₅) 零点在散射数据中的位置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K=Q(√5) 的 Dedekind zeta 分解为 ζ_K(s)=ζ(s)·L(χ₅,s)，其中 χ₅(n)=(5/n) 为模 5 本原二次特征。乘积在 Re s&gt;1 绝对收敛区成立，并在解析延拓下传递零点结构：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Z(ζ_K) = Z(ζ) ∪ Z(L(χ₅))。</w:t>
      </w:r>
      <w:r>
        <w:rPr>
          <w:rFonts w:ascii="Times New Roman" w:hAnsi="Times New Roman" w:eastAsia="宋体"/>
          <w:b w:val="0"/>
          <w:i w:val="0"/>
          <w:sz w:val="21"/>
        </w:rPr>
        <w:tab/>
        <w:t>（9）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因此 L(χ₅) 的每个非平凡零点 ρ 在散射数据中给出 φ 的极点 s=ρ/2；L(χ₅) 的 GRH（Re ρ=1/2）等价于相应极点位于 Re(s)=1/4。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5.3　对“散射项只对应平凡零点”的证伪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论证 10 的判据“散射矩阵极点仅位于负偶数，只对应 ζ(s) 平凡零点”在三个层面均不成立：</w:t>
      </w:r>
    </w:p>
    <w:p>
      <w:pPr>
        <w:spacing w:before="0" w:after="0"/>
        <w:ind w:firstLine="420"/>
      </w:pPr>
      <w:r>
        <w:rPr>
          <w:rFonts w:ascii="Times New Roman" w:hAnsi="Times New Roman" w:eastAsia="黑体"/>
          <w:b/>
          <w:i w:val="0"/>
          <w:sz w:val="21"/>
        </w:rPr>
        <w:t>（i）对象错误。</w:t>
      </w:r>
      <w:r>
        <w:rPr>
          <w:rFonts w:ascii="Times New Roman" w:hAnsi="Times New Roman" w:eastAsia="宋体"/>
          <w:b w:val="0"/>
          <w:i w:val="0"/>
          <w:sz w:val="21"/>
        </w:rPr>
        <w:t>对 X=SL₂(O_K)＼(H²×H²)，散射系数是 ζ_K 的（φ(s)=Λ_K(2s−1)/Λ_K(2s)），不是 ζ 的；ζ_K 含 L(χ₅) 因子，其非平凡零点信息全部在散射数据中。</w:t>
      </w:r>
    </w:p>
    <w:p>
      <w:pPr>
        <w:spacing w:before="0" w:after="0"/>
        <w:ind w:firstLine="420"/>
      </w:pPr>
      <w:r>
        <w:rPr>
          <w:rFonts w:ascii="Times New Roman" w:hAnsi="Times New Roman" w:eastAsia="黑体"/>
          <w:b/>
          <w:i w:val="0"/>
          <w:sz w:val="21"/>
        </w:rPr>
        <w:t>（ii）即使退化为二维模曲面，</w:t>
      </w:r>
      <w:r>
        <w:rPr>
          <w:rFonts w:ascii="Times New Roman" w:hAnsi="Times New Roman" w:eastAsia="宋体"/>
          <w:b w:val="0"/>
          <w:i w:val="0"/>
          <w:sz w:val="21"/>
        </w:rPr>
        <w:t>φ(s)=ξ(2s−1)/ξ(2s) 的极点也包括 ζ 的非平凡零点对应的 s=ρ/2（RH 下位于 Re(s)=1/4），绝非“仅负偶数”。</w:t>
      </w:r>
    </w:p>
    <w:p>
      <w:pPr>
        <w:spacing w:before="0" w:after="0"/>
        <w:ind w:firstLine="420"/>
      </w:pPr>
      <w:r>
        <w:rPr>
          <w:rFonts w:ascii="Times New Roman" w:hAnsi="Times New Roman" w:eastAsia="黑体"/>
          <w:b/>
          <w:i w:val="0"/>
          <w:sz w:val="21"/>
        </w:rPr>
        <w:t>（iii）信息方向颠倒。</w:t>
      </w:r>
      <w:r>
        <w:rPr>
          <w:rFonts w:ascii="Times New Roman" w:hAnsi="Times New Roman" w:eastAsia="宋体"/>
          <w:b w:val="0"/>
          <w:i w:val="0"/>
          <w:sz w:val="21"/>
        </w:rPr>
        <w:t>连续谱项 Cont 恰是 ζ_K 非平凡零点在谱侧的镜像；在约化显式公式时剔除它，等于删去被证对象本身。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6　修正后的散射项与完整迹公式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6.1　修正后的连续谱项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Cont(h) = −1/(4π) ∫</w:t>
      </w:r>
      <w:r>
        <w:rPr>
          <w:rFonts w:ascii="Times New Roman" w:hAnsi="Times New Roman" w:eastAsia="宋体"/>
          <w:b w:val="0"/>
          <w:i/>
          <w:sz w:val="21"/>
          <w:vertAlign w:val="subscript"/>
        </w:rPr>
        <w:t>−∞</w:t>
      </w:r>
      <w:r>
        <w:t>+∞</w:t>
      </w:r>
      <w:r>
        <w:rPr>
          <w:rFonts w:ascii="Times New Roman" w:hAnsi="Times New Roman" w:eastAsia="宋体"/>
          <w:b w:val="0"/>
          <w:i w:val="0"/>
          <w:sz w:val="21"/>
        </w:rPr>
        <w:t xml:space="preserve"> (φ′/φ)(1/2+ir) h(r) dr，</w:t>
      </w:r>
      <w:r>
        <w:rPr>
          <w:rFonts w:ascii="Times New Roman" w:hAnsi="Times New Roman" w:eastAsia="宋体"/>
          <w:b w:val="0"/>
          <w:i w:val="0"/>
          <w:sz w:val="21"/>
        </w:rPr>
        <w:tab/>
        <w:t>（10）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其中 φ(s)=Λ_K(2s−1)/Λ_K(2s)，h 为 Paley–Wiener 型谱检验函数，谱变量 r 由 λ=2(1/4+r²) 参数化。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6.2　对照表：论证 10 原式与修正式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</w:trPr>
        <w:tc>
          <w:tcPr>
            <w:tcW w:type="dxa" w:w="147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项目</w:t>
            </w:r>
          </w:p>
        </w:tc>
        <w:tc>
          <w:tcPr>
            <w:tcW w:type="dxa" w:w="3742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论证 10 原式</w:t>
            </w:r>
          </w:p>
        </w:tc>
        <w:tc>
          <w:tcPr>
            <w:tcW w:type="dxa" w:w="3855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修正后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归一因子</w:t>
            </w:r>
          </w:p>
        </w:tc>
        <w:tc>
          <w:tcPr>
            <w:tcW w:type="dxa" w:w="3742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1/(4πi)</w:t>
            </w:r>
          </w:p>
        </w:tc>
        <w:tc>
          <w:tcPr>
            <w:tcW w:type="dxa" w:w="385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−1/(4π)（Hejhal 单尖点标量版）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散射对象</w:t>
            </w:r>
          </w:p>
        </w:tc>
        <w:tc>
          <w:tcPr>
            <w:tcW w:type="dxa" w:w="3742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φ，ζ 口径，未指明</w:t>
            </w:r>
          </w:p>
        </w:tc>
        <w:tc>
          <w:tcPr>
            <w:tcW w:type="dxa" w:w="385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φ(s)=Λ_K(2s−1)/Λ_K(2s)，ζ_K 口径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谱参数化</w:t>
            </w:r>
          </w:p>
        </w:tc>
        <w:tc>
          <w:tcPr>
            <w:tcW w:type="dxa" w:w="3742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f(1/4+r²)（H² 口径）</w:t>
            </w:r>
          </w:p>
        </w:tc>
        <w:tc>
          <w:tcPr>
            <w:tcW w:type="dxa" w:w="385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h(r)，λ=2(1/4+r²)（H²×H² 口径）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检验函数</w:t>
            </w:r>
          </w:p>
        </w:tc>
        <w:tc>
          <w:tcPr>
            <w:tcW w:type="dxa" w:w="3742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同一 f 同时作用于 λ 与 ℓ</w:t>
            </w:r>
          </w:p>
        </w:tc>
        <w:tc>
          <w:tcPr>
            <w:tcW w:type="dxa" w:w="385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谱侧 h(r)、几何侧 ĝ(ℓ)，Fourier 变换对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极点归属</w:t>
            </w:r>
          </w:p>
        </w:tc>
        <w:tc>
          <w:tcPr>
            <w:tcW w:type="dxa" w:w="3742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仅负偶数，对应平凡零点</w:t>
            </w:r>
          </w:p>
        </w:tc>
        <w:tc>
          <w:tcPr>
            <w:tcW w:type="dxa" w:w="385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{ρ/2：ρ∈Z(ζ_K)}，含 L(χ₅) 非平凡零点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1　散射项修正对照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6.3　谱参数化与检验函数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对角 Eisenstein 的本征值为 λ=2s(1−s)；s=1/2+ir 时 λ=2(1/4+r²)。修正后的完整迹公式为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Σ</w:t>
      </w:r>
      <w:r>
        <w:rPr>
          <w:rFonts w:ascii="Times New Roman" w:hAnsi="Times New Roman" w:eastAsia="宋体"/>
          <w:b w:val="0"/>
          <w:i/>
          <w:sz w:val="21"/>
          <w:vertAlign w:val="subscript"/>
        </w:rPr>
        <w:t>j</w:t>
      </w:r>
      <w:r>
        <w:rPr>
          <w:rFonts w:ascii="Times New Roman" w:hAnsi="Times New Roman" w:eastAsia="宋体"/>
          <w:b w:val="0"/>
          <w:i w:val="0"/>
          <w:sz w:val="21"/>
        </w:rPr>
        <w:t xml:space="preserve"> h(t</w:t>
      </w:r>
      <w:r>
        <w:rPr>
          <w:rFonts w:ascii="Times New Roman" w:hAnsi="Times New Roman" w:eastAsia="宋体"/>
          <w:b w:val="0"/>
          <w:i/>
          <w:sz w:val="21"/>
          <w:vertAlign w:val="subscript"/>
        </w:rPr>
        <w:t>j</w:t>
      </w:r>
      <w:r>
        <w:rPr>
          <w:rFonts w:ascii="Times New Roman" w:hAnsi="Times New Roman" w:eastAsia="宋体"/>
          <w:b w:val="0"/>
          <w:i w:val="0"/>
          <w:sz w:val="21"/>
        </w:rPr>
        <w:t>) = 主项 + Σ</w:t>
      </w:r>
      <w:r>
        <w:rPr>
          <w:rFonts w:ascii="Times New Roman" w:hAnsi="Times New Roman" w:eastAsia="宋体"/>
          <w:b w:val="0"/>
          <w:i/>
          <w:sz w:val="21"/>
          <w:vertAlign w:val="subscript"/>
        </w:rPr>
        <w:t>γ,k</w:t>
      </w:r>
      <w:r>
        <w:rPr>
          <w:rFonts w:ascii="Times New Roman" w:hAnsi="Times New Roman" w:eastAsia="宋体"/>
          <w:b w:val="0"/>
          <w:i w:val="0"/>
          <w:sz w:val="21"/>
        </w:rPr>
        <w:t xml:space="preserve"> [ℓ_γ/(2sinh(kℓ_γ/2))]·ĝ(kℓ_γ) + 椭圆项 − 1/(4π)∫(φ′/φ)(1/2+ir)h(r)dr + 恒等项，</w:t>
      </w:r>
      <w:r>
        <w:rPr>
          <w:rFonts w:ascii="Times New Roman" w:hAnsi="Times New Roman" w:eastAsia="宋体"/>
          <w:b w:val="0"/>
          <w:i w:val="0"/>
          <w:sz w:val="21"/>
        </w:rPr>
        <w:tab/>
        <w:t>（11）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其中 t_j 由 λ_j=2(1/4+t_j²) 定义。谱侧用 h（r 的函数），几何侧用 ĝ（ℓ 的函数），二者为 Fourier 变换对——论证 10 用同一 f 直接作用于 λ 与 ℓ 没有迹公式依据。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7　推论：7/16 极自由区域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OpenAI（2026 年 10 月）证明 ζ 与全部 Dirichlet L-函数在 Re(s)&gt;7/8 无零点，并给出 Re(s)&gt;11/12 的独立证明；该结果已有 Lean 4 形式化，随后刘柏英沿同一论证将边界改进至 (1507−2√921)/1653≈0.874957（arXiv:2610.12234）。由 ζ_K=ζ·L(χ₅)（两个因子均为 Dirichlet L-函数或 ζ 本身），立即得到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ζ_K 在 Re(s)&gt;7/8 无零点　⟹　φ(s) 在 Re(s)&gt;7/16 无极点。</w:t>
      </w:r>
      <w:r>
        <w:rPr>
          <w:rFonts w:ascii="Times New Roman" w:hAnsi="Times New Roman" w:eastAsia="宋体"/>
          <w:b w:val="0"/>
          <w:i w:val="0"/>
          <w:sz w:val="21"/>
        </w:rPr>
        <w:tab/>
        <w:t>（12）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即散射数据 (φ′/φ)(s) 在半平面 Re(s)&gt;7/16 全纯。这是散射层面的固定常数零自由区域推论，与经典 1−c/log(|t|+2) 型零自由区域（渐近贴近 Re=0）形成对照。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8　结论与后续修改清单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论证 10 的散射项部分需执行以下修改：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（1）载体由 H³ 单嵌入改为 H²×H² 双实嵌入，全篇谱参数化同步为 λ=2(1/4+r²)；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（2）Cont(f) 替换为修正形式（10），φ 取 ζ_K 口径（6）；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（3）删除“散射项只对应平凡零点”及第 5 节相应的剔除论证；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（4）检验函数改为谱侧 h/几何侧 ĝ 的 Fourier 变换对，删除同一 f 直接代入；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（5）JL 权重与附录 D“投影归一”等其余硬伤另见核验稿，本文不展开；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（6）目标建议：零自由区域版本已被 OpenAI 结果覆盖；若坚持完整 RH，需正面处理 1/2~7/8 区间（双矩、零点探测器、参数优化等工具）。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参考文献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[1] 刘旭东, 刘高源, 王芳, 刘晓春. 保序双射定理 10（算术双曲 3 流形本原闭测地线与素理想的保序双射证明·改写方案与路 B 骨架）[Z]. 2026-10.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[2] 刘旭东, 刘高源, 王芳, 刘晓春. 基于 Arthur 稳定迹、Jacquet–Langlands 对应与测地流指数混合的谱对偶论证 10[Z]. 2026.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[3] ARTHUR J. The invariant trace formula I: local theory[J]. Journal of the American Mathematical Society, 1988, 1(2): 323–383.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[4] HEJHAL D A. The Selberg trace formula for PSL(2,R), Vol. I[M]. Lecture Notes in Mathematics 548. Berlin: Springer, 1976.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[5] JACQUET H, LANGLANDS R P. Automorphic forms on GL(2)[M]. Lecture Notes in Mathematics 114. Berlin: Springer, 1970.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[6] LANGLANDS R P. On the functional equations satisfied by Eisenstein series[M]. Lecture Notes in Mathematics 544. Berlin: Springer, 1976.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[7] ELSTRODT J, GRUNEWALD F, MENNICKE J. Groups acting on hyperbolic space: harmonic analysis and number theory[M]. Berlin: Springer, 1998.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[8] DOLGOPYAT D. On decay of correlations in Anosov flows[J]. Annals of Mathematics, 1998, 147(2): 357–390.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[9] LIU B Y. Slightly improved zero-free half-planes for the quasi-Riemann hypothesis[EB/OL]. arXiv:2610.12234, 2026.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附录 A　单尖点 Eisenstein 级数常数项的推导要点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对 E(z₁,z₂;s) 沿唯一尖点方向作抛物 Fourier 展开，常数项系数由 Poincaré 级数的积分表示给出。利用抛物子群 Γ_∞={±(1 m;0 1)：m∈O_K} 的格点求和与 Dedekind zeta 的 Hecke 积分表示，反射项系数为 ζ_K(2s−1)/ζ_K(2s) 与 Archimedean Γ 因子之积；整理后即得 Λ_K(2s−1)/Λ_K(2s)（公式（6））。常数因子（判别式、π 幂）不影响极点结构。完整推导留待专题稿。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附录 B　迹公式连续谱项的推导线索（Hejhal 型）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模曲面 PSL₂(Z)＼H² 情形（Hejhal）：Σ_j h(t_j) = (|X|/4π)∫ r·tanh(πr)h(r)dr + Σ_{γ,k}… − (1/4π)∫(φ′/φ)(1/2+ir)h(r)dr + 恒等项。对 Hilbert 模曲面 X=SL₂(O_K)＼(H²×H²)，同型推导成立：单尖点使散射矩阵为标量，Plancherel 主项系数由 vol(X) 决定，连续谱项形式不变，φ 取本文（6）式。该形式（4）、（10）即论证 10 第 2.2 节 Cont(f) 的正确替代。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