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2E2F" w14:textId="77777777" w:rsidR="00F837A5" w:rsidRPr="00F837A5" w:rsidRDefault="00F837A5" w:rsidP="00F837A5">
      <w:r w:rsidRPr="00F837A5">
        <w:t>文献核实完成，判定比 "6% 门槛" 更陡 ——</w:t>
      </w:r>
      <w:r w:rsidRPr="00F837A5">
        <w:rPr>
          <w:b/>
          <w:bCs/>
        </w:rPr>
        <w:t>盲区 δ&lt;0.05 没有现成文献桥，且闭合门槛实质是 "超密度假设" 级</w:t>
      </w:r>
      <w:r w:rsidRPr="00F837A5">
        <w:t>。</w:t>
      </w:r>
    </w:p>
    <w:p w14:paraId="33B88D81" w14:textId="77777777" w:rsidR="00F837A5" w:rsidRPr="00F837A5" w:rsidRDefault="00F837A5" w:rsidP="00F837A5">
      <w:r w:rsidRPr="00F837A5">
        <w:rPr>
          <w:b/>
          <w:bCs/>
        </w:rPr>
        <w:t>核实结论（按证据链）</w:t>
      </w:r>
    </w:p>
    <w:p w14:paraId="4A194BD4" w14:textId="77777777" w:rsidR="00F837A5" w:rsidRPr="00F837A5" w:rsidRDefault="00F837A5" w:rsidP="00F837A5">
      <w:pPr>
        <w:numPr>
          <w:ilvl w:val="0"/>
          <w:numId w:val="1"/>
        </w:numPr>
      </w:pPr>
      <w:r w:rsidRPr="00F837A5">
        <w:rPr>
          <w:b/>
          <w:bCs/>
        </w:rPr>
        <w:t>σ∈[1/2,3/4] 判定带的已知最好界仍是 Ingham</w:t>
      </w:r>
      <w:r w:rsidRPr="00F837A5">
        <w:t>。Bellotti 2024 综述明列：该区域最优化合界 = Ingham T^{3 (1</w:t>
      </w:r>
      <w:r w:rsidRPr="00F837A5">
        <w:rPr>
          <w:rFonts w:ascii="Cambria Math" w:hAnsi="Cambria Math" w:cs="Cambria Math"/>
        </w:rPr>
        <w:t>−</w:t>
      </w:r>
      <w:r w:rsidRPr="00F837A5">
        <w:rPr>
          <w:rFonts w:ascii="等线" w:eastAsia="等线" w:hAnsi="等线" w:cs="等线" w:hint="eastAsia"/>
        </w:rPr>
        <w:t>σ</w:t>
      </w:r>
      <w:r w:rsidRPr="00F837A5">
        <w:t>)/(2</w:t>
      </w:r>
      <w:r w:rsidRPr="00F837A5">
        <w:rPr>
          <w:rFonts w:ascii="Cambria Math" w:hAnsi="Cambria Math" w:cs="Cambria Math"/>
        </w:rPr>
        <w:t>−</w:t>
      </w:r>
      <w:r w:rsidRPr="00F837A5">
        <w:rPr>
          <w:rFonts w:ascii="等线" w:eastAsia="等线" w:hAnsi="等线" w:cs="等线" w:hint="eastAsia"/>
        </w:rPr>
        <w:t>σ</w:t>
      </w:r>
      <w:r w:rsidRPr="00F837A5">
        <w:t>)} log</w:t>
      </w:r>
      <w:r w:rsidRPr="00F837A5">
        <w:rPr>
          <w:rFonts w:ascii="Cambria Math" w:hAnsi="Cambria Math" w:cs="Cambria Math"/>
        </w:rPr>
        <w:t>⁵</w:t>
      </w:r>
      <w:r w:rsidRPr="00F837A5">
        <w:t>T（σ≤3/4）+ Huxley T^{3 (1</w:t>
      </w:r>
      <w:r w:rsidRPr="00F837A5">
        <w:rPr>
          <w:rFonts w:ascii="Cambria Math" w:hAnsi="Cambria Math" w:cs="Cambria Math"/>
        </w:rPr>
        <w:t>−</w:t>
      </w:r>
      <w:r w:rsidRPr="00F837A5">
        <w:rPr>
          <w:rFonts w:ascii="等线" w:eastAsia="等线" w:hAnsi="等线" w:cs="等线" w:hint="eastAsia"/>
        </w:rPr>
        <w:t>σ</w:t>
      </w:r>
      <w:r w:rsidRPr="00F837A5">
        <w:t>)/(3</w:t>
      </w:r>
      <w:r w:rsidRPr="00F837A5">
        <w:rPr>
          <w:rFonts w:ascii="等线" w:eastAsia="等线" w:hAnsi="等线" w:cs="等线" w:hint="eastAsia"/>
        </w:rPr>
        <w:t>σ</w:t>
      </w:r>
      <w:r w:rsidRPr="00F837A5">
        <w:rPr>
          <w:rFonts w:ascii="Cambria Math" w:hAnsi="Cambria Math" w:cs="Cambria Math"/>
        </w:rPr>
        <w:t>−</w:t>
      </w:r>
      <w:r w:rsidRPr="00F837A5">
        <w:t>1)} log</w:t>
      </w:r>
      <w:r w:rsidRPr="00F837A5">
        <w:rPr>
          <w:rFonts w:ascii="Cambria Math" w:hAnsi="Cambria Math" w:cs="Cambria Math"/>
        </w:rPr>
        <w:t>⁴⁴</w:t>
      </w:r>
      <w:r w:rsidRPr="00F837A5">
        <w:t>T（σ≥3/4）；σ∈[0.5,0.55] 无任何优于 Ingham 的已知界。arXiv</w:t>
      </w:r>
    </w:p>
    <w:p w14:paraId="477EE62C" w14:textId="77777777" w:rsidR="00F837A5" w:rsidRPr="00F837A5" w:rsidRDefault="00F837A5" w:rsidP="00F837A5">
      <w:pPr>
        <w:numPr>
          <w:ilvl w:val="0"/>
          <w:numId w:val="1"/>
        </w:numPr>
      </w:pPr>
      <w:r w:rsidRPr="00F837A5">
        <w:rPr>
          <w:b/>
          <w:bCs/>
        </w:rPr>
        <w:t>Guth–Maynard 2024（84 年来首次改进）不触及判定带</w:t>
      </w:r>
      <w:r w:rsidRPr="00F837A5">
        <w:t>。其 N (σ,T)</w:t>
      </w:r>
      <w:r w:rsidRPr="00F837A5">
        <w:rPr>
          <w:rFonts w:ascii="Cambria Math" w:hAnsi="Cambria Math" w:cs="Cambria Math"/>
        </w:rPr>
        <w:t>≪</w:t>
      </w:r>
      <w:r w:rsidRPr="00F837A5">
        <w:t>T^{30 (1</w:t>
      </w:r>
      <w:r w:rsidRPr="00F837A5">
        <w:rPr>
          <w:rFonts w:ascii="Cambria Math" w:hAnsi="Cambria Math" w:cs="Cambria Math"/>
        </w:rPr>
        <w:t>−</w:t>
      </w:r>
      <w:r w:rsidRPr="00F837A5">
        <w:rPr>
          <w:rFonts w:ascii="等线" w:eastAsia="等线" w:hAnsi="等线" w:cs="等线" w:hint="eastAsia"/>
        </w:rPr>
        <w:t>σ</w:t>
      </w:r>
      <w:r w:rsidRPr="00F837A5">
        <w:t>)/13} 在统一系数口径把 12/5 压到 30/13，但 σ≤0.7 时 Ingham 的 σ 依赖指数 3 (1</w:t>
      </w:r>
      <w:r w:rsidRPr="00F837A5">
        <w:rPr>
          <w:rFonts w:ascii="Cambria Math" w:hAnsi="Cambria Math" w:cs="Cambria Math"/>
        </w:rPr>
        <w:t>−</w:t>
      </w:r>
      <w:r w:rsidRPr="00F837A5">
        <w:rPr>
          <w:rFonts w:ascii="等线" w:eastAsia="等线" w:hAnsi="等线" w:cs="等线" w:hint="eastAsia"/>
        </w:rPr>
        <w:t>σ</w:t>
      </w:r>
      <w:r w:rsidRPr="00F837A5">
        <w:t>)/(2</w:t>
      </w:r>
      <w:r w:rsidRPr="00F837A5">
        <w:rPr>
          <w:rFonts w:ascii="Cambria Math" w:hAnsi="Cambria Math" w:cs="Cambria Math"/>
        </w:rPr>
        <w:t>−</w:t>
      </w:r>
      <w:r w:rsidRPr="00F837A5">
        <w:rPr>
          <w:rFonts w:ascii="等线" w:eastAsia="等线" w:hAnsi="等线" w:cs="等线" w:hint="eastAsia"/>
        </w:rPr>
        <w:t>σ</w:t>
      </w:r>
      <w:r w:rsidRPr="00F837A5">
        <w:t>) 严格更小 ——σ=0.55 处 GM=1.0385 vs Ingham=0.9310。arXivMathLumen</w:t>
      </w:r>
    </w:p>
    <w:p w14:paraId="6A50FDDF" w14:textId="77777777" w:rsidR="00F837A5" w:rsidRPr="00F837A5" w:rsidRDefault="00F837A5" w:rsidP="00F837A5">
      <w:pPr>
        <w:numPr>
          <w:ilvl w:val="0"/>
          <w:numId w:val="1"/>
        </w:numPr>
      </w:pPr>
      <w:r w:rsidRPr="00F837A5">
        <w:rPr>
          <w:b/>
          <w:bCs/>
        </w:rPr>
        <w:t>所有 "优于 Ingham" 的已知界都只在 σ 更大处成立</w:t>
      </w:r>
      <w:r w:rsidRPr="00F837A5">
        <w:t>：Huxley 3 (1</w:t>
      </w:r>
      <w:r w:rsidRPr="00F837A5">
        <w:rPr>
          <w:rFonts w:ascii="Cambria Math" w:hAnsi="Cambria Math" w:cs="Cambria Math"/>
        </w:rPr>
        <w:t>−</w:t>
      </w:r>
      <w:r w:rsidRPr="00F837A5">
        <w:rPr>
          <w:rFonts w:ascii="等线" w:eastAsia="等线" w:hAnsi="等线" w:cs="等线" w:hint="eastAsia"/>
        </w:rPr>
        <w:t>σ</w:t>
      </w:r>
      <w:r w:rsidRPr="00F837A5">
        <w:t>)/(3</w:t>
      </w:r>
      <w:r w:rsidRPr="00F837A5">
        <w:rPr>
          <w:rFonts w:ascii="等线" w:eastAsia="等线" w:hAnsi="等线" w:cs="等线" w:hint="eastAsia"/>
        </w:rPr>
        <w:t>σ</w:t>
      </w:r>
      <w:r w:rsidRPr="00F837A5">
        <w:rPr>
          <w:rFonts w:ascii="Cambria Math" w:hAnsi="Cambria Math" w:cs="Cambria Math"/>
        </w:rPr>
        <w:t>−</w:t>
      </w:r>
      <w:r w:rsidRPr="00F837A5">
        <w:t>1)（σ≥3/4）、Bourgain 密度假设（σ≥25/32）、Heath-Brown a=1,A=2（σ≥11/14）、Bellotti log-free（σ≥0.985）—— 无一覆盖 σ=0.55。arXivresolve-he.cambridge.org</w:t>
      </w:r>
    </w:p>
    <w:p w14:paraId="402856B0" w14:textId="77777777" w:rsidR="00F837A5" w:rsidRPr="00F837A5" w:rsidRDefault="00F837A5" w:rsidP="00F837A5">
      <w:pPr>
        <w:numPr>
          <w:ilvl w:val="0"/>
          <w:numId w:val="1"/>
        </w:numPr>
      </w:pPr>
      <w:r w:rsidRPr="00F837A5">
        <w:rPr>
          <w:b/>
          <w:bCs/>
        </w:rPr>
        <w:t>显式常数界不可用</w:t>
      </w:r>
      <w:r w:rsidRPr="00F837A5">
        <w:t>：2507.15184 的显式 Ingham（log 幂次降到 (7</w:t>
      </w:r>
      <w:r w:rsidRPr="00F837A5">
        <w:rPr>
          <w:rFonts w:ascii="Cambria Math" w:hAnsi="Cambria Math" w:cs="Cambria Math"/>
        </w:rPr>
        <w:t>−</w:t>
      </w:r>
      <w:r w:rsidRPr="00F837A5">
        <w:t>5</w:t>
      </w:r>
      <w:r w:rsidRPr="00F837A5">
        <w:rPr>
          <w:rFonts w:ascii="等线" w:eastAsia="等线" w:hAnsi="等线" w:cs="等线" w:hint="eastAsia"/>
        </w:rPr>
        <w:t>σ</w:t>
      </w:r>
      <w:r w:rsidRPr="00F837A5">
        <w:t>)/(2</w:t>
      </w:r>
      <w:r w:rsidRPr="00F837A5">
        <w:rPr>
          <w:rFonts w:ascii="Cambria Math" w:hAnsi="Cambria Math" w:cs="Cambria Math"/>
        </w:rPr>
        <w:t>−</w:t>
      </w:r>
      <w:r w:rsidRPr="00F837A5">
        <w:rPr>
          <w:rFonts w:ascii="等线" w:eastAsia="等线" w:hAnsi="等线" w:cs="等线" w:hint="eastAsia"/>
        </w:rPr>
        <w:t>σ</w:t>
      </w:r>
      <w:r w:rsidRPr="00F837A5">
        <w:t>)</w:t>
      </w:r>
      <w:r w:rsidRPr="00F837A5">
        <w:rPr>
          <w:rFonts w:ascii="等线" w:eastAsia="等线" w:hAnsi="等线" w:cs="等线" w:hint="eastAsia"/>
        </w:rPr>
        <w:t>≈</w:t>
      </w:r>
      <w:r w:rsidRPr="00F837A5">
        <w:t>3）要求 T≥3×10¹²，而我们的 T=6×10</w:t>
      </w:r>
      <w:r w:rsidRPr="00F837A5">
        <w:rPr>
          <w:rFonts w:ascii="Cambria Math" w:hAnsi="Cambria Math" w:cs="Cambria Math"/>
        </w:rPr>
        <w:t>⁵</w:t>
      </w:r>
      <w:r w:rsidRPr="00F837A5">
        <w:t xml:space="preserve"> 差 7 个量级。arXiv</w:t>
      </w:r>
    </w:p>
    <w:p w14:paraId="66926F62" w14:textId="77777777" w:rsidR="00F837A5" w:rsidRPr="00F837A5" w:rsidRDefault="00F837A5" w:rsidP="00F837A5">
      <w:r w:rsidRPr="00F837A5">
        <w:rPr>
          <w:b/>
          <w:bCs/>
        </w:rPr>
        <w:t>数值钉死（entD_work/entD_zero_density_lit.json，口径同 B1：frac=2</w:t>
      </w:r>
      <w:r w:rsidRPr="00F837A5">
        <w:rPr>
          <w:rFonts w:ascii="微软雅黑" w:eastAsia="微软雅黑" w:hAnsi="微软雅黑" w:cs="微软雅黑" w:hint="eastAsia"/>
          <w:b/>
          <w:bCs/>
        </w:rPr>
        <w:t>・</w:t>
      </w:r>
      <w:r w:rsidRPr="00F837A5">
        <w:rPr>
          <w:b/>
          <w:bCs/>
        </w:rPr>
        <w:t>T^{κ}/N_K）</w:t>
      </w:r>
    </w:p>
    <w:p w14:paraId="1AC7ED74" w14:textId="77777777" w:rsidR="00F837A5" w:rsidRPr="00F837A5" w:rsidRDefault="00F837A5" w:rsidP="00F837A5">
      <w:r w:rsidRPr="00F837A5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1089"/>
        <w:gridCol w:w="1286"/>
        <w:gridCol w:w="3144"/>
      </w:tblGrid>
      <w:tr w:rsidR="00F837A5" w:rsidRPr="00F837A5" w14:paraId="2A33D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D2F5F" w14:textId="77777777" w:rsidR="00F837A5" w:rsidRPr="00F837A5" w:rsidRDefault="00F837A5" w:rsidP="00F837A5">
            <w:pPr>
              <w:rPr>
                <w:b/>
                <w:bCs/>
              </w:rPr>
            </w:pPr>
            <w:r w:rsidRPr="00F837A5">
              <w:rPr>
                <w:b/>
                <w:bCs/>
              </w:rPr>
              <w:t>路径</w:t>
            </w:r>
          </w:p>
        </w:tc>
        <w:tc>
          <w:tcPr>
            <w:tcW w:w="0" w:type="auto"/>
            <w:vAlign w:val="center"/>
            <w:hideMark/>
          </w:tcPr>
          <w:p w14:paraId="603EF3C6" w14:textId="77777777" w:rsidR="00F837A5" w:rsidRPr="00F837A5" w:rsidRDefault="00F837A5" w:rsidP="00F837A5">
            <w:pPr>
              <w:rPr>
                <w:b/>
                <w:bCs/>
              </w:rPr>
            </w:pPr>
            <w:r w:rsidRPr="00F837A5">
              <w:rPr>
                <w:b/>
                <w:bCs/>
              </w:rPr>
              <w:t>κ@σ=0.55</w:t>
            </w:r>
          </w:p>
        </w:tc>
        <w:tc>
          <w:tcPr>
            <w:tcW w:w="0" w:type="auto"/>
            <w:vAlign w:val="center"/>
            <w:hideMark/>
          </w:tcPr>
          <w:p w14:paraId="6A1AEFD6" w14:textId="77777777" w:rsidR="00F837A5" w:rsidRPr="00F837A5" w:rsidRDefault="00F837A5" w:rsidP="00F837A5">
            <w:pPr>
              <w:rPr>
                <w:b/>
                <w:bCs/>
              </w:rPr>
            </w:pPr>
            <w:r w:rsidRPr="00F837A5">
              <w:rPr>
                <w:b/>
                <w:bCs/>
              </w:rPr>
              <w:t>frac(δ=0.05)</w:t>
            </w:r>
          </w:p>
        </w:tc>
        <w:tc>
          <w:tcPr>
            <w:tcW w:w="0" w:type="auto"/>
            <w:vAlign w:val="center"/>
            <w:hideMark/>
          </w:tcPr>
          <w:p w14:paraId="266FCDB8" w14:textId="77777777" w:rsidR="00F837A5" w:rsidRPr="00F837A5" w:rsidRDefault="00F837A5" w:rsidP="00F837A5">
            <w:pPr>
              <w:rPr>
                <w:b/>
                <w:bCs/>
              </w:rPr>
            </w:pPr>
            <w:r w:rsidRPr="00F837A5">
              <w:rPr>
                <w:b/>
                <w:bCs/>
              </w:rPr>
              <w:t>δ*（frac=0.1018 的临界深度）</w:t>
            </w:r>
          </w:p>
        </w:tc>
      </w:tr>
      <w:tr w:rsidR="00F837A5" w:rsidRPr="00F837A5" w14:paraId="155E5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BEC7" w14:textId="77777777" w:rsidR="00F837A5" w:rsidRPr="00F837A5" w:rsidRDefault="00F837A5" w:rsidP="00F837A5">
            <w:r w:rsidRPr="00F837A5">
              <w:t>Ingham 3(1</w:t>
            </w:r>
            <w:r w:rsidRPr="00F837A5">
              <w:rPr>
                <w:rFonts w:ascii="Cambria Math" w:hAnsi="Cambria Math" w:cs="Cambria Math"/>
              </w:rPr>
              <w:t>−</w:t>
            </w:r>
            <w:r w:rsidRPr="00F837A5">
              <w:rPr>
                <w:rFonts w:ascii="等线" w:eastAsia="等线" w:hAnsi="等线" w:cs="等线" w:hint="eastAsia"/>
              </w:rPr>
              <w:t>σ</w:t>
            </w:r>
            <w:r w:rsidRPr="00F837A5">
              <w:t>)/(2</w:t>
            </w:r>
            <w:r w:rsidRPr="00F837A5">
              <w:rPr>
                <w:rFonts w:ascii="Cambria Math" w:hAnsi="Cambria Math" w:cs="Cambria Math"/>
              </w:rPr>
              <w:t>−</w:t>
            </w:r>
            <w:r w:rsidRPr="00F837A5">
              <w:rPr>
                <w:rFonts w:ascii="等线" w:eastAsia="等线" w:hAnsi="等线" w:cs="等线" w:hint="eastAsia"/>
              </w:rPr>
              <w:t>σ</w:t>
            </w:r>
            <w:r w:rsidRPr="00F837A5">
              <w:t>)</w:t>
            </w:r>
          </w:p>
        </w:tc>
        <w:tc>
          <w:tcPr>
            <w:tcW w:w="0" w:type="auto"/>
            <w:vAlign w:val="center"/>
            <w:hideMark/>
          </w:tcPr>
          <w:p w14:paraId="0E46A579" w14:textId="77777777" w:rsidR="00F837A5" w:rsidRPr="00F837A5" w:rsidRDefault="00F837A5" w:rsidP="00F837A5">
            <w:r w:rsidRPr="00F837A5">
              <w:t>0.9310</w:t>
            </w:r>
          </w:p>
        </w:tc>
        <w:tc>
          <w:tcPr>
            <w:tcW w:w="0" w:type="auto"/>
            <w:vAlign w:val="center"/>
            <w:hideMark/>
          </w:tcPr>
          <w:p w14:paraId="4746C9E1" w14:textId="77777777" w:rsidR="00F837A5" w:rsidRPr="00F837A5" w:rsidRDefault="00F837A5" w:rsidP="00F837A5">
            <w:r w:rsidRPr="00F837A5">
              <w:t>0.2230</w:t>
            </w:r>
          </w:p>
        </w:tc>
        <w:tc>
          <w:tcPr>
            <w:tcW w:w="0" w:type="auto"/>
            <w:vAlign w:val="center"/>
            <w:hideMark/>
          </w:tcPr>
          <w:p w14:paraId="01BB9C0D" w14:textId="77777777" w:rsidR="00F837A5" w:rsidRPr="00F837A5" w:rsidRDefault="00F837A5" w:rsidP="00F837A5">
            <w:r w:rsidRPr="00F837A5">
              <w:t>0.0902</w:t>
            </w:r>
          </w:p>
        </w:tc>
      </w:tr>
      <w:tr w:rsidR="00F837A5" w:rsidRPr="00F837A5" w14:paraId="79CFF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3D19" w14:textId="77777777" w:rsidR="00F837A5" w:rsidRPr="00F837A5" w:rsidRDefault="00F837A5" w:rsidP="00F837A5">
            <w:r w:rsidRPr="00F837A5">
              <w:t>Guth–Maynard 30(1</w:t>
            </w:r>
            <w:r w:rsidRPr="00F837A5">
              <w:rPr>
                <w:rFonts w:ascii="Cambria Math" w:hAnsi="Cambria Math" w:cs="Cambria Math"/>
              </w:rPr>
              <w:t>−</w:t>
            </w:r>
            <w:r w:rsidRPr="00F837A5">
              <w:rPr>
                <w:rFonts w:ascii="等线" w:eastAsia="等线" w:hAnsi="等线" w:cs="等线" w:hint="eastAsia"/>
              </w:rPr>
              <w:t>σ</w:t>
            </w:r>
            <w:r w:rsidRPr="00F837A5">
              <w:t>)/13</w:t>
            </w:r>
          </w:p>
        </w:tc>
        <w:tc>
          <w:tcPr>
            <w:tcW w:w="0" w:type="auto"/>
            <w:vAlign w:val="center"/>
            <w:hideMark/>
          </w:tcPr>
          <w:p w14:paraId="6939C24B" w14:textId="77777777" w:rsidR="00F837A5" w:rsidRPr="00F837A5" w:rsidRDefault="00F837A5" w:rsidP="00F837A5">
            <w:r w:rsidRPr="00F837A5">
              <w:t>1.0385</w:t>
            </w:r>
          </w:p>
        </w:tc>
        <w:tc>
          <w:tcPr>
            <w:tcW w:w="0" w:type="auto"/>
            <w:vAlign w:val="center"/>
            <w:hideMark/>
          </w:tcPr>
          <w:p w14:paraId="67DFABC2" w14:textId="77777777" w:rsidR="00F837A5" w:rsidRPr="00F837A5" w:rsidRDefault="00F837A5" w:rsidP="00F837A5">
            <w:r w:rsidRPr="00F837A5">
              <w:t>0.9313</w:t>
            </w:r>
          </w:p>
        </w:tc>
        <w:tc>
          <w:tcPr>
            <w:tcW w:w="0" w:type="auto"/>
            <w:vAlign w:val="center"/>
            <w:hideMark/>
          </w:tcPr>
          <w:p w14:paraId="0ACD1CA1" w14:textId="77777777" w:rsidR="00F837A5" w:rsidRPr="00F837A5" w:rsidRDefault="00F837A5" w:rsidP="00F837A5">
            <w:r w:rsidRPr="00F837A5">
              <w:t>0.1221</w:t>
            </w:r>
          </w:p>
        </w:tc>
      </w:tr>
      <w:tr w:rsidR="00F837A5" w:rsidRPr="00F837A5" w14:paraId="4FD95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C937" w14:textId="77777777" w:rsidR="00F837A5" w:rsidRPr="00F837A5" w:rsidRDefault="00F837A5" w:rsidP="00F837A5">
            <w:r w:rsidRPr="00F837A5">
              <w:rPr>
                <w:b/>
                <w:bCs/>
              </w:rPr>
              <w:t>密度假设 2 (1</w:t>
            </w:r>
            <w:r w:rsidRPr="00F837A5">
              <w:rPr>
                <w:rFonts w:ascii="Cambria Math" w:hAnsi="Cambria Math" w:cs="Cambria Math"/>
                <w:b/>
                <w:bCs/>
              </w:rPr>
              <w:t>−</w:t>
            </w:r>
            <w:r w:rsidRPr="00F837A5">
              <w:rPr>
                <w:rFonts w:ascii="等线" w:eastAsia="等线" w:hAnsi="等线" w:cs="等线" w:hint="eastAsia"/>
                <w:b/>
                <w:bCs/>
              </w:rPr>
              <w:t>σ</w:t>
            </w:r>
            <w:r w:rsidRPr="00F837A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A51B05" w14:textId="77777777" w:rsidR="00F837A5" w:rsidRPr="00F837A5" w:rsidRDefault="00F837A5" w:rsidP="00F837A5">
            <w:r w:rsidRPr="00F837A5">
              <w:t>0.9000</w:t>
            </w:r>
          </w:p>
        </w:tc>
        <w:tc>
          <w:tcPr>
            <w:tcW w:w="0" w:type="auto"/>
            <w:vAlign w:val="center"/>
            <w:hideMark/>
          </w:tcPr>
          <w:p w14:paraId="170A7911" w14:textId="77777777" w:rsidR="00F837A5" w:rsidRPr="00F837A5" w:rsidRDefault="00F837A5" w:rsidP="00F837A5">
            <w:r w:rsidRPr="00F837A5">
              <w:rPr>
                <w:b/>
                <w:bCs/>
              </w:rPr>
              <w:t>0.1476</w:t>
            </w:r>
          </w:p>
        </w:tc>
        <w:tc>
          <w:tcPr>
            <w:tcW w:w="0" w:type="auto"/>
            <w:vAlign w:val="center"/>
            <w:hideMark/>
          </w:tcPr>
          <w:p w14:paraId="07D34A62" w14:textId="77777777" w:rsidR="00F837A5" w:rsidRPr="00F837A5" w:rsidRDefault="00F837A5" w:rsidP="00F837A5">
            <w:r w:rsidRPr="00F837A5">
              <w:rPr>
                <w:b/>
                <w:bCs/>
              </w:rPr>
              <w:t>0.0640</w:t>
            </w:r>
          </w:p>
        </w:tc>
      </w:tr>
    </w:tbl>
    <w:p w14:paraId="5FE52349" w14:textId="77777777" w:rsidR="00F837A5" w:rsidRPr="00F837A5" w:rsidRDefault="00F837A5" w:rsidP="00F837A5">
      <w:r w:rsidRPr="00F837A5">
        <w:t>κ 门槛 = 0.8721。</w:t>
      </w:r>
      <w:r w:rsidRPr="00F837A5">
        <w:rPr>
          <w:b/>
          <w:bCs/>
        </w:rPr>
        <w:t>连密度假设（RH 之外公认最强零密度猜想）在 σ=0.55 都差 3.2%</w:t>
      </w:r>
      <w:r w:rsidRPr="00F837A5">
        <w:t>——δ* 只到 0.064，压不过 0.05 线。盲区闭合需超密度假设的界，文献中不存在。</w:t>
      </w:r>
    </w:p>
    <w:p w14:paraId="748795A9" w14:textId="77777777" w:rsidR="00F837A5" w:rsidRPr="00F837A5" w:rsidRDefault="00F837A5" w:rsidP="00F837A5">
      <w:r w:rsidRPr="00F837A5">
        <w:rPr>
          <w:b/>
          <w:bCs/>
        </w:rPr>
        <w:t>判定（对主线）</w:t>
      </w:r>
    </w:p>
    <w:p w14:paraId="1085750D" w14:textId="77777777" w:rsidR="00F837A5" w:rsidRPr="00F837A5" w:rsidRDefault="00F837A5" w:rsidP="00F837A5">
      <w:pPr>
        <w:numPr>
          <w:ilvl w:val="0"/>
          <w:numId w:val="2"/>
        </w:numPr>
      </w:pPr>
      <w:r w:rsidRPr="00F837A5">
        <w:lastRenderedPageBreak/>
        <w:t>盲区威胁（δ&lt;0.05、&gt;21.9 万）</w:t>
      </w:r>
      <w:r w:rsidRPr="00F837A5">
        <w:rPr>
          <w:b/>
          <w:bCs/>
        </w:rPr>
        <w:t>与密度假设兼容</w:t>
      </w:r>
      <w:r w:rsidRPr="00F837A5">
        <w:t>：DH 在 δ=0.05 允许 0.148</w:t>
      </w:r>
      <w:r w:rsidRPr="00F837A5">
        <w:rPr>
          <w:rFonts w:ascii="微软雅黑" w:eastAsia="微软雅黑" w:hAnsi="微软雅黑" w:cs="微软雅黑" w:hint="eastAsia"/>
        </w:rPr>
        <w:t>・</w:t>
      </w:r>
      <w:r w:rsidRPr="00F837A5">
        <w:t>N_K≈31.7 万离线 &gt; 21.9 万 —— 未被排除，也无可排除的现有界。这是真正的开放理论点。</w:t>
      </w:r>
    </w:p>
    <w:p w14:paraId="6AE8228D" w14:textId="77777777" w:rsidR="00F837A5" w:rsidRPr="00F837A5" w:rsidRDefault="00F837A5" w:rsidP="00F837A5">
      <w:pPr>
        <w:numPr>
          <w:ilvl w:val="0"/>
          <w:numId w:val="2"/>
        </w:numPr>
      </w:pPr>
      <w:r w:rsidRPr="00F837A5">
        <w:t>但威胁形态是 "极浅且极多"（算术上不自然）；数值侧已封死（XXXIII 峰高 + XXXIV 配对二阶全阶盲）；无条件段 δ≥0.0902 保留。</w:t>
      </w:r>
    </w:p>
    <w:p w14:paraId="66826937" w14:textId="77777777" w:rsidR="00F837A5" w:rsidRPr="00F837A5" w:rsidRDefault="00F837A5" w:rsidP="00F837A5">
      <w:pPr>
        <w:numPr>
          <w:ilvl w:val="0"/>
          <w:numId w:val="2"/>
        </w:numPr>
      </w:pPr>
      <w:r w:rsidRPr="00F837A5">
        <w:t>净状态：</w:t>
      </w:r>
      <w:r w:rsidRPr="00F837A5">
        <w:rPr>
          <w:b/>
          <w:bCs/>
        </w:rPr>
        <w:t>θ_K≥7/8 等价式的证据结构 = 无条件段 + 数值闭合段 + 盲区存档</w:t>
      </w:r>
      <w:r w:rsidRPr="00F837A5">
        <w:t>—— 文献核实把最后一条 "理论捷径" 也关掉了；压 δ* 的方向不是零密度界（通用结构已到头），而是 ζ_K 特有谱信息。</w:t>
      </w:r>
    </w:p>
    <w:p w14:paraId="340B55B2" w14:textId="77777777" w:rsidR="00F837A5" w:rsidRPr="00F837A5" w:rsidRDefault="00F837A5" w:rsidP="00F837A5">
      <w:r w:rsidRPr="00F837A5">
        <w:t>下一步二选一（你拍板）：落攻防 XXXV（文献核实判定 + 盲区门槛升级为 "超密度假设"）；或转 ζ_K 特有结构（在线比例桥 / 显式公式余项的细形态 —— 我们自己的谱对偶框架），把盲区从 "通用界够不着" 变成 "特有结构能说</w:t>
      </w:r>
    </w:p>
    <w:p w14:paraId="1AF1DE8E" w14:textId="77777777" w:rsidR="00DF76B2" w:rsidRPr="00F837A5" w:rsidRDefault="00DF76B2">
      <w:pPr>
        <w:rPr>
          <w:rFonts w:hint="eastAsia"/>
        </w:rPr>
      </w:pPr>
    </w:p>
    <w:sectPr w:rsidR="00DF76B2" w:rsidRPr="00F837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C6907"/>
    <w:multiLevelType w:val="multilevel"/>
    <w:tmpl w:val="17F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B06AF1"/>
    <w:multiLevelType w:val="multilevel"/>
    <w:tmpl w:val="E17C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7963410">
    <w:abstractNumId w:val="1"/>
  </w:num>
  <w:num w:numId="2" w16cid:durableId="191400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41"/>
    <w:rsid w:val="0000534A"/>
    <w:rsid w:val="00842997"/>
    <w:rsid w:val="00DF76B2"/>
    <w:rsid w:val="00F35E41"/>
    <w:rsid w:val="00F83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52C229-D60C-4252-A0A2-68056029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5E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E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E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E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E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E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E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E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5E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5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5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5E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5E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5E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5E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5E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5E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5E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5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E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5E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5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5E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E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5E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5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5E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5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2026-10-23T12:18:00Z</dcterms:created>
  <dcterms:modified xsi:type="dcterms:W3CDTF">2026-10-23T12:18:00Z</dcterms:modified>
</cp:coreProperties>
</file>