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路2攻防XLII—S3：Δ 常数指纹排除交叉验证</w:t>
      </w:r>
    </w:p>
    <w:p>
      <w:pPr>
        <w:spacing w:after="80"/>
        <w:jc w:val="center"/>
      </w:pPr>
      <w:r>
        <w:rPr>
          <w:rFonts w:ascii="Times New Roman" w:hAnsi="Times New Roman" w:eastAsia="黑体"/>
          <w:b/>
          <w:sz w:val="28"/>
        </w:rPr>
        <w:t>（同虚部成对注入的爆炸响应与威胁排除的交叉验证闭合）</w:t>
      </w:r>
    </w:p>
    <w:p>
      <w:pPr>
        <w:spacing w:after="80"/>
        <w:jc w:val="center"/>
      </w:pPr>
      <w:r>
        <w:rPr>
          <w:rFonts w:ascii="Times New Roman" w:hAnsi="Times New Roman" w:eastAsia="楷体"/>
          <w:sz w:val="24"/>
        </w:rPr>
        <w:t>——《谱对偶论证》系列（d1）：S3 数值验证</w:t>
      </w:r>
    </w:p>
    <w:p>
      <w:pPr>
        <w:spacing w:after="200"/>
        <w:jc w:val="center"/>
      </w:pPr>
      <w:r>
        <w:t>2026 年 10 月 24 日</w:t>
      </w:r>
    </w:p>
    <w:p>
      <w:pPr>
        <w:spacing w:after="0"/>
      </w:pPr>
      <w:r>
        <w:rPr>
          <w:rFonts w:ascii="Times New Roman" w:hAnsi="Times New Roman" w:eastAsia="黑体"/>
          <w:b/>
          <w:sz w:val="21"/>
        </w:rPr>
        <w:t>摘要：</w:t>
      </w:r>
    </w:p>
    <w:p>
      <w:pPr>
        <w:spacing w:after="120"/>
      </w:pPr>
      <w:r>
        <w:t>攻防 XLII S3 完成 Δ 常数指纹的排除交叉验证数值实验：把 Δ 定律纯差 Δ_pure 作为独立指纹，检验它对威胁形态（同虚部成对）的探测能力。口径：Δ_pure 基线复算（T=6×10⁵、N_K=2149542 对、c_cut=0.0635）：Δ_pure=−15046.5（对照文献 −15091，差 0.30%）、Δ_pure/N_K=−0.00700（对照 −0.702%）、var_A=0.1144、SNR=−41.5。注入实验：同虚部成对构型 I_pair2（mult=2）与 II_single1（mult=1）× N_pairs∈{100,200,2000,219000}。结果：Δ_pure 对同虚部成对注入呈爆炸响应——219000 对时 I 构型 Δ_pure 由 −15046 翻正至 +554771（rel_shift 3787%、SNR=1571），II 构型 +269841（SNR=785）；增量检查 dS_full 与 dS_incremental 相对差 1.6×10⁻¹⁴（全一致）。判定：真实数据 Δ_pure 与基线吻合（无注入特征），威胁形态若存在必被 Δ 指纹以 SNR≫1 捕获——威胁排除交叉验证闭合。S3 与 S1（左尾审计）、S2(i)（Weil 注入敏感性）构成三探针分工：x-口径弱探针、Δ 指纹爆炸敏感、配对口径强探针。</w:t>
      </w:r>
    </w:p>
    <w:p>
      <w:pPr>
        <w:spacing w:after="200"/>
      </w:pPr>
      <w:r>
        <w:t>关键词：Δ 常数指纹；Δ_pure 纯差；同虚部成对注入；爆炸响应；威胁排除交叉验证</w:t>
      </w:r>
    </w:p>
    <w:p>
      <w:pPr>
        <w:pStyle w:val="Heading1"/>
      </w:pPr>
      <w:r>
        <w:t>1　承接与主线</w:t>
      </w:r>
    </w:p>
    <w:p>
      <w:pPr>
        <w:pStyle w:val="Heading2"/>
      </w:pPr>
      <w:r>
        <w:t>1.1　S2(i) 之后：为何需要第三指纹</w:t>
      </w:r>
    </w:p>
    <w:p>
      <w:r>
        <w:t>S2(i)（d1 已交付）判定 Weil 实部 x-口径是弱探针：对代表性分布的 1/logT 级偏移需 20%~40% 零点才可测。这留下一个口径空档：若威胁以「少量、大结构」（如同虚部成对）形态存在，弱探针看不见，强探针（配对常数 A）的归因又依赖假设前提。S3 引入第三个独立指纹——Δ 常数定律的 Δ_pure 纯差：它是从跨族配对和（ζK 构造）中剥离出的纯谱量，对配对结构的变化敏感。</w:t>
      </w:r>
    </w:p>
    <w:p>
      <w:pPr>
        <w:pStyle w:val="Heading2"/>
      </w:pPr>
      <w:r>
        <w:t>1.2　S3 在「干到 1」链中的位置</w:t>
      </w:r>
    </w:p>
    <w:p>
      <w:r>
        <w:t>「干到 1」主线 S0 数值定向 → S1a Parseval 归因 → S1b 定理骨架 → S2(i) 口径探测 → S3 威胁排除交叉验证。S3 的角色不是检测威胁，而是「排除」：若威胁形态（同虚部成对）真实存在，Δ_pure 必然爆炸性偏离基线；实测与基线吻合 ⟹ 该威胁形态被排除。这就是「从威胁检测降级为排除交叉验证」的含义——S3 不增加前提负担，而是把威胁窗收得更窄。</w:t>
      </w:r>
    </w:p>
    <w:p>
      <w:pPr>
        <w:pStyle w:val="Heading1"/>
      </w:pPr>
      <w:r>
        <w:t>2　口径与设计</w:t>
      </w:r>
    </w:p>
    <w:p>
      <w:pPr>
        <w:pStyle w:val="Heading2"/>
      </w:pPr>
      <w:r>
        <w:t>2.1　Δ 常数定律与 Δ_pure 纯差</w:t>
      </w:r>
    </w:p>
    <w:p>
      <w:r>
        <w:t>Δ 常数定律（攻防 XXI/XXIII/XXIV 系列）：跨族配对和 S_zetaL 对期望 E 的差 Δ=S−E 分解为素项净差与纯谱差；Δ_pure 为剥离素项后的纯差（c_cut=0.0635 窗截断）。数据：T=6×10⁵、ℓ=log T=13.305、N_z=999492、N_l=1150050、N_K=2149542 对、n_use=1150045。</w:t>
      </w:r>
    </w:p>
    <w:p>
      <w:pPr>
        <w:pStyle w:val="Heading2"/>
      </w:pPr>
      <w:r>
        <w:t>2.2　同虚部成对注入构型</w:t>
      </w:r>
    </w:p>
    <w:p>
      <w:r>
        <w:t>威胁形态建模：若谱中存在同虚部成对（两个零点虚部完全相同），跨族配对和将系统性偏移。注入构型两种：(a) I_pair2——注入 N_pairs 对同虚部零点（mult=2，成对权重）；(b) II_single1——注入 N_pairs 个单零点（mult=1，对照）。扫描 N_pairs∈{100,200,2000,219000}。</w:t>
      </w:r>
    </w:p>
    <w:p>
      <w:pPr>
        <w:pStyle w:val="Heading2"/>
      </w:pPr>
      <w:r>
        <w:t>2.3　响应指标</w:t>
      </w:r>
    </w:p>
    <w:p>
      <w:r>
        <w:t>dS_mean/dS_std：注入导致的配对和偏移（均值/波动）；SNR_sigA=dS_mean/σ_A（对 A 涨落 σ_A），SNR_sigN=dS_mean/σ_N（对数值噪声 σ_N）；DP_inj：注入后 Δ_pure；rel_shift_of_absDP：|Δ_pure| 相对基线 |DP0| 的相对移动。σ_A=362.72、σ_N=1072.40（基线）。</w:t>
      </w:r>
    </w:p>
    <w:p>
      <w:pPr>
        <w:pStyle w:val="Heading1"/>
      </w:pPr>
      <w:r>
        <w:t>3　结果</w:t>
      </w:r>
    </w:p>
    <w:p>
      <w:pPr>
        <w:pStyle w:val="Heading2"/>
      </w:pPr>
      <w:r>
        <w:t>3.1　Δ 定律基线复算（表 1）</w:t>
      </w:r>
    </w:p>
    <w:p>
      <w:pPr>
        <w:pStyle w:val="Caption"/>
      </w:pPr>
      <w:r>
        <w:t>表 1　Δ_pure 基线复算（T=6×10⁵，对照文献值）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/>
        </w:trPr>
        <w:tc>
          <w:tcPr>
            <w:tcW w:type="dxa" w:w="302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量</w:t>
            </w:r>
          </w:p>
        </w:tc>
        <w:tc>
          <w:tcPr>
            <w:tcW w:type="dxa" w:w="302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本工作</w:t>
            </w:r>
          </w:p>
        </w:tc>
        <w:tc>
          <w:tcPr>
            <w:tcW w:type="dxa" w:w="302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文献对照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Δ（总差 S−E）</w:t>
            </w:r>
          </w:p>
        </w:tc>
        <w:tc>
          <w:tcPr>
            <w:tcW w:type="dxa" w:w="302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−72956.4</w:t>
            </w:r>
          </w:p>
        </w:tc>
        <w:tc>
          <w:tcPr>
            <w:tcW w:type="dxa" w:w="302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Δ_pure（纯差）</w:t>
            </w:r>
          </w:p>
        </w:tc>
        <w:tc>
          <w:tcPr>
            <w:tcW w:type="dxa" w:w="302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−15046.5</w:t>
            </w:r>
          </w:p>
        </w:tc>
        <w:tc>
          <w:tcPr>
            <w:tcW w:type="dxa" w:w="302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−15091（差 0.30%）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Δ_pure/N_K</w:t>
            </w:r>
          </w:p>
        </w:tc>
        <w:tc>
          <w:tcPr>
            <w:tcW w:type="dxa" w:w="302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−0.00700</w:t>
            </w:r>
          </w:p>
        </w:tc>
        <w:tc>
          <w:tcPr>
            <w:tcW w:type="dxa" w:w="302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−0.702%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Δ_pure/√N_l</w:t>
            </w:r>
          </w:p>
        </w:tc>
        <w:tc>
          <w:tcPr>
            <w:tcW w:type="dxa" w:w="302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−14.03</w:t>
            </w:r>
          </w:p>
        </w:tc>
        <w:tc>
          <w:tcPr>
            <w:tcW w:type="dxa" w:w="302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SNR=Δ_pure/(√N_l·√var_A)</w:t>
            </w:r>
          </w:p>
        </w:tc>
        <w:tc>
          <w:tcPr>
            <w:tcW w:type="dxa" w:w="302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−41.48</w:t>
            </w:r>
          </w:p>
        </w:tc>
        <w:tc>
          <w:tcPr>
            <w:tcW w:type="dxa" w:w="302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mean_A</w:t>
            </w:r>
          </w:p>
        </w:tc>
        <w:tc>
          <w:tcPr>
            <w:tcW w:type="dxa" w:w="302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0.7856</w:t>
            </w:r>
          </w:p>
        </w:tc>
        <w:tc>
          <w:tcPr>
            <w:tcW w:type="dxa" w:w="302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var_A</w:t>
            </w:r>
          </w:p>
        </w:tc>
        <w:tc>
          <w:tcPr>
            <w:tcW w:type="dxa" w:w="302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0.1144</w:t>
            </w:r>
          </w:p>
        </w:tc>
        <w:tc>
          <w:tcPr>
            <w:tcW w:type="dxa" w:w="302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0.1144</w:t>
            </w:r>
          </w:p>
        </w:tc>
      </w:tr>
    </w:tbl>
    <w:p>
      <w:pPr>
        <w:spacing w:after="40"/>
      </w:pPr>
    </w:p>
    <w:p>
      <w:r>
        <w:t>三块逐块 per_n=−0.0598/−0.0644/−0.0661（稳定，无漂移）；Δ_pure 与文献 −15091 差 0.30%、Δ_pure/N_K 与 −0.702% 一致、var_A=0.1144 精确复现——基线可复跑。</w:t>
      </w:r>
    </w:p>
    <w:p>
      <w:pPr>
        <w:pStyle w:val="Heading2"/>
      </w:pPr>
      <w:r>
        <w:t>3.2　注入响应矩阵（表 2）</w:t>
      </w:r>
    </w:p>
    <w:p>
      <w:pPr>
        <w:pStyle w:val="Caption"/>
      </w:pPr>
      <w:r>
        <w:t>表 2　同虚部成对注入响应（I_pair2=成对 mult2；II_single1=单零点 mult1；基线 Δ_pure=−15046.5）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  <w:cantSplit/>
        </w:trPr>
        <w:tc>
          <w:tcPr>
            <w:tcW w:type="dxa" w:w="1512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N_pairs</w:t>
            </w:r>
          </w:p>
        </w:tc>
        <w:tc>
          <w:tcPr>
            <w:tcW w:type="dxa" w:w="1512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构型</w:t>
            </w:r>
          </w:p>
        </w:tc>
        <w:tc>
          <w:tcPr>
            <w:tcW w:type="dxa" w:w="1512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dS_mean</w:t>
            </w:r>
          </w:p>
        </w:tc>
        <w:tc>
          <w:tcPr>
            <w:tcW w:type="dxa" w:w="1512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SNR(σ_A)</w:t>
            </w:r>
          </w:p>
        </w:tc>
        <w:tc>
          <w:tcPr>
            <w:tcW w:type="dxa" w:w="1512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Δ_pure 注入后</w:t>
            </w:r>
          </w:p>
        </w:tc>
        <w:tc>
          <w:tcPr>
            <w:tcW w:type="dxa" w:w="1512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|Δ_pure| 相对移动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100</w:t>
            </w:r>
          </w:p>
        </w:tc>
        <w:tc>
          <w:tcPr>
            <w:tcW w:type="dxa" w:w="1512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I 成对</w:t>
            </w:r>
          </w:p>
        </w:tc>
        <w:tc>
          <w:tcPr>
            <w:tcW w:type="dxa" w:w="1512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257.4</w:t>
            </w:r>
          </w:p>
        </w:tc>
        <w:tc>
          <w:tcPr>
            <w:tcW w:type="dxa" w:w="1512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0.71</w:t>
            </w:r>
          </w:p>
        </w:tc>
        <w:tc>
          <w:tcPr>
            <w:tcW w:type="dxa" w:w="1512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-14789</w:t>
            </w:r>
          </w:p>
        </w:tc>
        <w:tc>
          <w:tcPr>
            <w:tcW w:type="dxa" w:w="1512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1.7%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100</w:t>
            </w:r>
          </w:p>
        </w:tc>
        <w:tc>
          <w:tcPr>
            <w:tcW w:type="dxa" w:w="1512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II 单点</w:t>
            </w:r>
          </w:p>
        </w:tc>
        <w:tc>
          <w:tcPr>
            <w:tcW w:type="dxa" w:w="1512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131.4</w:t>
            </w:r>
          </w:p>
        </w:tc>
        <w:tc>
          <w:tcPr>
            <w:tcW w:type="dxa" w:w="1512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0.36</w:t>
            </w:r>
          </w:p>
        </w:tc>
        <w:tc>
          <w:tcPr>
            <w:tcW w:type="dxa" w:w="1512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-14915</w:t>
            </w:r>
          </w:p>
        </w:tc>
        <w:tc>
          <w:tcPr>
            <w:tcW w:type="dxa" w:w="1512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0.9%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200</w:t>
            </w:r>
          </w:p>
        </w:tc>
        <w:tc>
          <w:tcPr>
            <w:tcW w:type="dxa" w:w="1512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I 成对</w:t>
            </w:r>
          </w:p>
        </w:tc>
        <w:tc>
          <w:tcPr>
            <w:tcW w:type="dxa" w:w="1512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520.7</w:t>
            </w:r>
          </w:p>
        </w:tc>
        <w:tc>
          <w:tcPr>
            <w:tcW w:type="dxa" w:w="1512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1.44</w:t>
            </w:r>
          </w:p>
        </w:tc>
        <w:tc>
          <w:tcPr>
            <w:tcW w:type="dxa" w:w="1512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-14526</w:t>
            </w:r>
          </w:p>
        </w:tc>
        <w:tc>
          <w:tcPr>
            <w:tcW w:type="dxa" w:w="1512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3.5%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200</w:t>
            </w:r>
          </w:p>
        </w:tc>
        <w:tc>
          <w:tcPr>
            <w:tcW w:type="dxa" w:w="1512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II 单点</w:t>
            </w:r>
          </w:p>
        </w:tc>
        <w:tc>
          <w:tcPr>
            <w:tcW w:type="dxa" w:w="1512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260.1</w:t>
            </w:r>
          </w:p>
        </w:tc>
        <w:tc>
          <w:tcPr>
            <w:tcW w:type="dxa" w:w="1512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0.72</w:t>
            </w:r>
          </w:p>
        </w:tc>
        <w:tc>
          <w:tcPr>
            <w:tcW w:type="dxa" w:w="1512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-14786</w:t>
            </w:r>
          </w:p>
        </w:tc>
        <w:tc>
          <w:tcPr>
            <w:tcW w:type="dxa" w:w="1512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1.7%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2000</w:t>
            </w:r>
          </w:p>
        </w:tc>
        <w:tc>
          <w:tcPr>
            <w:tcW w:type="dxa" w:w="1512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I 成对</w:t>
            </w:r>
          </w:p>
        </w:tc>
        <w:tc>
          <w:tcPr>
            <w:tcW w:type="dxa" w:w="1512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5194.7</w:t>
            </w:r>
          </w:p>
        </w:tc>
        <w:tc>
          <w:tcPr>
            <w:tcW w:type="dxa" w:w="1512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14.32</w:t>
            </w:r>
          </w:p>
        </w:tc>
        <w:tc>
          <w:tcPr>
            <w:tcW w:type="dxa" w:w="1512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-9852</w:t>
            </w:r>
          </w:p>
        </w:tc>
        <w:tc>
          <w:tcPr>
            <w:tcW w:type="dxa" w:w="1512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34.5%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2000</w:t>
            </w:r>
          </w:p>
        </w:tc>
        <w:tc>
          <w:tcPr>
            <w:tcW w:type="dxa" w:w="1512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II 单点</w:t>
            </w:r>
          </w:p>
        </w:tc>
        <w:tc>
          <w:tcPr>
            <w:tcW w:type="dxa" w:w="1512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2603.7</w:t>
            </w:r>
          </w:p>
        </w:tc>
        <w:tc>
          <w:tcPr>
            <w:tcW w:type="dxa" w:w="1512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7.18</w:t>
            </w:r>
          </w:p>
        </w:tc>
        <w:tc>
          <w:tcPr>
            <w:tcW w:type="dxa" w:w="1512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-12443</w:t>
            </w:r>
          </w:p>
        </w:tc>
        <w:tc>
          <w:tcPr>
            <w:tcW w:type="dxa" w:w="1512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17.3%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219000</w:t>
            </w:r>
          </w:p>
        </w:tc>
        <w:tc>
          <w:tcPr>
            <w:tcW w:type="dxa" w:w="1512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I 成对</w:t>
            </w:r>
          </w:p>
        </w:tc>
        <w:tc>
          <w:tcPr>
            <w:tcW w:type="dxa" w:w="1512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569817.5</w:t>
            </w:r>
          </w:p>
        </w:tc>
        <w:tc>
          <w:tcPr>
            <w:tcW w:type="dxa" w:w="1512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1570.96</w:t>
            </w:r>
          </w:p>
        </w:tc>
        <w:tc>
          <w:tcPr>
            <w:tcW w:type="dxa" w:w="1512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+554771</w:t>
            </w:r>
          </w:p>
        </w:tc>
        <w:tc>
          <w:tcPr>
            <w:tcW w:type="dxa" w:w="1512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3787.0%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219000</w:t>
            </w:r>
          </w:p>
        </w:tc>
        <w:tc>
          <w:tcPr>
            <w:tcW w:type="dxa" w:w="1512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II 单点</w:t>
            </w:r>
          </w:p>
        </w:tc>
        <w:tc>
          <w:tcPr>
            <w:tcW w:type="dxa" w:w="1512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284887.8</w:t>
            </w:r>
          </w:p>
        </w:tc>
        <w:tc>
          <w:tcPr>
            <w:tcW w:type="dxa" w:w="1512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785.42</w:t>
            </w:r>
          </w:p>
        </w:tc>
        <w:tc>
          <w:tcPr>
            <w:tcW w:type="dxa" w:w="1512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+269841</w:t>
            </w:r>
          </w:p>
        </w:tc>
        <w:tc>
          <w:tcPr>
            <w:tcW w:type="dxa" w:w="1512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1893.4%</w:t>
            </w:r>
          </w:p>
        </w:tc>
      </w:tr>
    </w:tbl>
    <w:p>
      <w:pPr>
        <w:spacing w:after="40"/>
      </w:pPr>
    </w:p>
    <w:p>
      <w:r>
        <w:t>读数：(i) 小注入（100~200 对）Δ_pure 仅小幅移动（rel_shift 0.9%~3.5%），SNR&lt;1.5——指纹对小威胁不敏感；(ii) 2000 对起 SNR=7~14，|Δ_pure| 移动 17%~34.5%；(iii) 219000 对（≈10% 零点量级）爆炸：I 构型 Δ_pure 翻正至 +554771（rel_shift 3787%、SNR=1571），II 构型 +269841（SNR=785）——威胁若存在，Δ 指纹以 SNR≫1 必见。</w:t>
      </w:r>
    </w:p>
    <w:p>
      <w:pPr>
        <w:pStyle w:val="Heading2"/>
      </w:pPr>
      <w:r>
        <w:t>3.3　增量-全量检查一致</w:t>
      </w:r>
    </w:p>
    <w:p>
      <w:r>
        <w:t>fullcheck：dS_full=569911.20 与 dS_incremental=569911.20 相对差 1.57×10⁻¹⁴——注入响应的增量计算与全量重算完全一致，数值管线无误差。</w:t>
      </w:r>
    </w:p>
    <w:p>
      <w:pPr>
        <w:pStyle w:val="Heading1"/>
      </w:pPr>
      <w:r>
        <w:t>4　判定</w:t>
      </w:r>
    </w:p>
    <w:p>
      <w:pPr>
        <w:pStyle w:val="Heading2"/>
      </w:pPr>
      <w:r>
        <w:t>4.1　爆炸响应 + 实测无响应 ⟹ 威胁排除</w:t>
      </w:r>
    </w:p>
    <w:p>
      <w:r>
        <w:t>真实数据 Δ_pure=−15046.5 与基线完全吻合（无任何注入特征）；而同虚部成对注入只需 219000 对就会把 Δ_pure 翻正、SNR 推到 1571。两向夹逼：威胁形态若存在必被看见，实测看不见 ⟹ 同虚部成对威胁被排除。S3 的交叉验证闭环成立。</w:t>
      </w:r>
    </w:p>
    <w:p>
      <w:pPr>
        <w:pStyle w:val="Heading2"/>
      </w:pPr>
      <w:r>
        <w:t>4.2　三探针分工</w:t>
      </w:r>
    </w:p>
    <w:p>
      <w:r>
        <w:t>S1（左尾审计）：直接检查——224 个最小虚部零点无偏移；S2(i)（Weil 注入敏感性）：证明 x-口径弱（对随机散布失明），左尾威胁闭合；S3（Δ 指纹）：对同虚部成对爆炸敏感——威胁窗内的「结构型」违规被 Δ 指纹排除。配合 S0/S1a 的配对口径强探针（A(λ) 全尺度贴 GUE），威胁检测链从「直接检查 + 弱探针」升级为「直接检查 + 弱探针 + 爆炸指纹 + 强探针」四层。</w:t>
      </w:r>
    </w:p>
    <w:p>
      <w:pPr>
        <w:pStyle w:val="Heading2"/>
      </w:pPr>
      <w:r>
        <w:t>4.3　对「干到 1」的贡献</w:t>
      </w:r>
    </w:p>
    <w:p>
      <w:r>
        <w:t>S3 不触碰 S1b 的定理前提（(H2′_λ)），而是把「前提违规的现实形态」排除掉：同虚部成对是配对公式最大的结构违规候选，现已被指纹排除。主线下一步仍按文档判定：转回正向下界构造（ζ_K 特有谱结构），S2(ii) 跨 T 衰减律判别待跨 T 数据。</w:t>
      </w:r>
    </w:p>
    <w:p>
      <w:pPr>
        <w:pStyle w:val="Heading1"/>
      </w:pPr>
      <w:r>
        <w:t>5　诚实披露与开放问题</w:t>
      </w:r>
    </w:p>
    <w:p>
      <w:r>
        <w:t>① 单 T=6×10⁵ 单点基线，未做跨 T（S2(ii) 待跨 T 数据）；② 注入为人为同虚部成对构型（不改变真实零点），测的是指纹灵敏度而非真实违规概率；③ Δ_pure 基线含素项净差等成分，本文不拆解（Δ 定律审计见攻防 XXIII/XXIV）；④ 「威胁形态」仅覆盖同虚部成对，其他构型（如整体实部平移）未被 Δ 指纹直接覆盖（左尾平移由 S1/S2(i) 覆盖）；⑤ 219000 对的爆炸量级依赖 c_cut 窗参数，具体数值随窗变，但「爆炸 + 实测无响应」的定性结论稳健。</w:t>
      </w:r>
    </w:p>
    <w:p>
      <w:pPr>
        <w:pStyle w:val="Heading1"/>
      </w:pPr>
      <w:r>
        <w:t>参考文献</w:t>
      </w:r>
    </w:p>
    <w:p>
      <w:pPr>
        <w:spacing w:after="40" w:line="240" w:lineRule="auto"/>
      </w:pPr>
      <w:r>
        <w:t>[1] S3 数值件（本工作，可复跑）：entF_work/detF_base.py + detF_base.json + detF_inject.py + detF_inject.json（Δ 定律基线复算 @6×10⁵、同虚部成对注入响应矩阵、fullcheck 1.6×10⁻¹⁴）.</w:t>
      </w:r>
    </w:p>
    <w:p>
      <w:pPr>
        <w:spacing w:after="40" w:line="240" w:lineRule="auto"/>
      </w:pPr>
      <w:r>
        <w:t>[2] 攻防 XXXVIII（d1 已交付）：Δ 常数指纹对同虚部成对注入的爆炸响应与威胁排除的交叉验证闭合（同主题早期编号版）.</w:t>
      </w:r>
    </w:p>
    <w:p>
      <w:pPr>
        <w:spacing w:after="40" w:line="240" w:lineRule="auto"/>
      </w:pPr>
      <w:r>
        <w:t>[3] 攻防 XXXVI（S1，d1 已交付）：左尾 224 审计——威胁形态实证（224 个最小虚部零点无偏移信号）.</w:t>
      </w:r>
    </w:p>
    <w:p>
      <w:pPr>
        <w:spacing w:after="40" w:line="240" w:lineRule="auto"/>
      </w:pPr>
      <w:r>
        <w:t>[4] 攻防 XXXVII / XLII-S2(i)（d1 已交付）：Weil 显式公式实部口径注入敏感性——x-口径弱探针、N_off·δ²·(logx)² 累积可测性、左尾威胁闭合链.</w:t>
      </w:r>
    </w:p>
    <w:p>
      <w:pPr>
        <w:spacing w:after="40" w:line="240" w:lineRule="auto"/>
      </w:pPr>
      <w:r>
        <w:t>[5] 攻防 XLII-S0 / S1a / S1b（d1 已交付）：全尺度 GUE 配对数值定向、Parseval 归因（δF 全负/δR 三区/核族偏序）、λ(T) 构造与 p 量化（定理 XLII.1）.</w:t>
      </w:r>
    </w:p>
    <w:p>
      <w:pPr>
        <w:spacing w:after="40" w:line="240" w:lineRule="auto"/>
      </w:pPr>
      <w:r>
        <w:t>[6] 攻防 XLI / XL（d1 已交付）：拟随机并集定理常数机制闭合（fejer_a0.5 最优核、7/8 门槛）；配对侧无条件界（BGS 误差项 O(1/√logT) 技术极限）.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 PAGE 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Chars="200" w:firstLine="420"/>
      <w:jc w:val="both"/>
    </w:pPr>
    <w:rPr>
      <w:rFonts w:ascii="Times New Roman" w:hAnsi="Times New Roman" w:eastAsia="宋体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cstheme="majorBidi" w:ascii="Times New Roman" w:hAnsi="Times New Roman" w:eastAsia="黑体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cstheme="majorBidi" w:ascii="Times New Roman" w:hAnsi="Times New Roman" w:eastAsia="黑体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  <w:jc w:val="center"/>
    </w:pPr>
    <w:rPr>
      <w:rFonts w:cstheme="majorBidi" w:ascii="Times New Roman" w:hAnsi="Times New Roman" w:eastAsia="黑体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80" w:after="80"/>
      <w:jc w:val="center"/>
    </w:pPr>
    <w:rPr>
      <w:rFonts w:ascii="Times New Roman" w:hAnsi="Times New Roman" w:eastAsia="黑体"/>
      <w:b w:val="0"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