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sz w:val="36"/>
        </w:rPr>
        <w:t>Delta 系数翻译与多 T 稳定性：互斥进入 θ_K 的 Levinson 桥与收敛判定</w:t>
      </w:r>
    </w:p>
    <w:p>
      <w:pPr>
        <w:spacing w:after="120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——《谱对偶论证》系列（d1）：L4 交叉项涨落的 θ_K 系数化与 T 收敛性</w:t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sz w:val="21"/>
        </w:rPr>
        <w:t>研究方案与部分进展（2026-10-19）：Δ/N_K→−3.38%±0.03% 的多 T 收敛判定与 θ_K 推进系数 c_Δ≈0.77</w:t>
      </w:r>
    </w:p>
    <w:p>
      <w:pPr>
        <w:spacing w:after="40"/>
        <w:jc w:val="center"/>
      </w:pPr>
      <w:r>
        <w:rPr>
          <w:rFonts w:ascii="Times New Roman" w:hAnsi="Times New Roman" w:eastAsia="楷体"/>
          <w:b w:val="0"/>
          <w:i w:val="0"/>
          <w:sz w:val="21"/>
        </w:rPr>
        <w:t>刘旭东　刘高源　王芳　刘晓春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温州有名机械科技有限公司　中航无人机　南京理工大学　成都中医药大学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19 日</w:t>
      </w:r>
    </w:p>
    <w:p>
      <w:pPr>
        <w:spacing w:before="0" w:after="0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本文完成 L4 交叉项涨落的两步推进：（i）</w:t>
      </w:r>
      <w:r>
        <w:rPr>
          <w:rFonts w:ascii="Times New Roman" w:hAnsi="Times New Roman" w:eastAsia="黑体"/>
          <w:b/>
          <w:i w:val="0"/>
          <w:sz w:val="21"/>
        </w:rPr>
        <w:t>系数翻译</w:t>
      </w:r>
      <w:r>
        <w:rPr>
          <w:rFonts w:ascii="Times New Roman" w:hAnsi="Times New Roman" w:eastAsia="宋体"/>
          <w:b w:val="0"/>
          <w:i w:val="0"/>
          <w:sz w:val="21"/>
        </w:rPr>
        <w:t>——把 Δ/N_K=−3.39%（L4 II，68σ）经 Levinson–Conrey 缩减桥（攻防 IX 的 LC.2 与 D-1 条件命题）翻译为 θ_K 下界的常数额外增量：系数 c_Δ=1/(R·c_main)≈0.77（R=1.3、c_main≈1），即每 1% 跨族互斥给出约 0.77% 的在线比例推进；以收敛值 −3.39% 计，推进 ≈2.6%（κ∈[0.5,1.5] 时 1.3%–3.9%），θ_K ≥ 0.874957+0.026 ≈ 0.901——首次把互斥信号变成可检的 θ_K 数字，7/8（0.875）被推进一步的前提链首次定量化；（ii）</w:t>
      </w:r>
      <w:r>
        <w:rPr>
          <w:rFonts w:ascii="Times New Roman" w:hAnsi="Times New Roman" w:eastAsia="黑体"/>
          <w:b/>
          <w:i w:val="0"/>
          <w:sz w:val="21"/>
        </w:rPr>
        <w:t>多 T 稳定性</w:t>
      </w:r>
      <w:r>
        <w:rPr>
          <w:rFonts w:ascii="Times New Roman" w:hAnsi="Times New Roman" w:eastAsia="宋体"/>
          <w:b w:val="0"/>
          <w:i w:val="0"/>
          <w:sz w:val="21"/>
        </w:rPr>
        <w:t>——T′=1×10⁵–6×10⁵ 六档截断扫描（R=20 固定口径）：Δ/N_K 单调收敛 −3.538%→−3.394%（差商 0.0007→0.0001 几何衰减，极限外推 ≈−3.38%±0.03%）；Δ/√N_L 从 −26 增至 −68（负偏置为 O(N_K) 级确定性结构，非涨落）；分块 per_n ≈ −0.060/−0.064/−0.066 全程均匀；亚泊松 var(A)≈0.114（0.146×mean）与排斥尺度 C(0.5)≈−0.0175 全程稳定。结论：推进 2.6% 的量级稳健；其成为 7/8 突破的前提链为 θ₀=0.874957 的无条件化（攻防 XIII 未决）∧ H2（核 K 符号，BCHB 计算）∧ κ≈1。</w:t>
      </w:r>
    </w:p>
    <w:p>
      <w:pPr>
        <w:spacing w:before="0" w:after="0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i w:val="0"/>
          <w:sz w:val="21"/>
        </w:rPr>
        <w:t>交叉项涨落；Levinson–Conrey 缩减；θ_K 在线比例；系数翻译；多 T 收敛；跨族互斥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承接与目标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IX[1] 给出在线桥的标准结构：Levinson–Conrey 缩减定理（LC.1/LC.2）把在线比例下界归结为带 mollifier 的二次矩上界 c，且 c 越小 κ_K 下界越大；其条件命题 D-1 把跨族谱负偏（H1）与交叉修正为负（H2）翻译为推进 η/(R·c_main)。L4 II[2] 给出 H1 的密度层输入：Δ=S_ζL−E=−72956、Δ/N_K=−3.39%（68σ）、条件 (D) 数值成立。本文完成：（i）把 −3.39% 翻译成 θ_K 的系数（D-1 的数值化）；（ii）多 T 稳定性扫描，确认 Δ/N_K 的收敛值——即推进量的数值输入。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系数翻译：互斥 → θ_K 的 Levinson 系数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　Levinson–Conrey 缩减（转述攻防 IX §2.1）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设 R&gt;0，Q∈ℝ[x] 满足 Q(0)=1、Q′(x)=Q′(1−x)；V(s)=Q(−(1/L)d/ds)ζ_K(s)，L=log T，σ₀=1/2−R/L；ψ 为 mollifier。若存在 c&gt;0 使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(1/T)∫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T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2T</w:t>
      </w:r>
      <w:r>
        <w:rPr>
          <w:rFonts w:ascii="Times New Roman" w:hAnsi="Times New Roman" w:eastAsia="宋体"/>
          <w:b w:val="0"/>
          <w:i w:val="0"/>
          <w:sz w:val="21"/>
        </w:rPr>
        <w:t xml:space="preserve"> |V(σ₀+it)ψ(σ₀+it)|² dt ≤ c + o(1)，</w:t>
      </w:r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则在线比例下界 κ_K=liminf N₀(T)/N(T) 满足（Conrey 1989，转引自攻防 IX）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κ_K ≥ 1 − (1/R)·log c。</w:t>
      </w:r>
      <w:r>
        <w:rPr>
          <w:rFonts w:ascii="Times New Roman" w:hAnsi="Times New Roman" w:eastAsia="宋体"/>
          <w:b w:val="0"/>
          <w:i w:val="0"/>
          <w:sz w:val="21"/>
        </w:rPr>
        <w:tab/>
        <w:t>（2）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桥的方向：</w:t>
      </w:r>
      <w:r>
        <w:rPr>
          <w:rFonts w:ascii="Times New Roman" w:hAnsi="Times New Roman" w:eastAsia="宋体"/>
          <w:b w:val="0"/>
          <w:i w:val="0"/>
          <w:sz w:val="21"/>
        </w:rPr>
        <w:t>c 每压低一个因子，κ_K 提升 (1/R)log(1/c) 量级。ζ_K=ζ·L(χ₅) 的乘积法则把 |V_K|² 的均值展开为同族项与交叉项 2Re(A_ζ Ā_L)；交叉项经显式公式写成素数求和，其对相关修正 = ∫(F_cross−F_ind)·K（F_cross 为跨族配对相关谱，K≥0 为 Q、ψ 决定的核）[1]。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　互斥强度的三个口径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口径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读数</w:t>
            </w:r>
          </w:p>
        </w:tc>
        <w:tc>
          <w:tcPr>
            <w:tcW w:type="dxa" w:w="272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配对层 Δ_pair/N_K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≈−0.7%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攻防 XVII[4]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谱层 ∫dF_cross dα（谱版配对差）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−0.024（dF(0)=−0.144）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攻防 IX 表 1[1]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密度层 Δ/N_K（窗口密度积分）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−3.39%（68σ，T=6×10⁵）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L4 II[2]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互斥强度的三个读数（同号：跨族排斥在三个口径一致为负）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IX §3.2 已确认 F_cross(0) 即 w 加权配对计数差的谱版；密度层 Δ 是同一互斥现象在局部窗口密度口径的积分读数。本文以密度层（统计量最强，68σ）作为 η 的数值输入。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2.3　系数定理（条件形式）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由 D-1[1]：若 H1（谱负偏）与 H2（交叉修正为负）成立，则 c ≤ c_main−η+o(1)，代入（2）得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κ_K ≥ (1 − (1/R)·log c_main) + η/(R·c_main) + O(η²)。</w:t>
      </w:r>
      <w:r>
        <w:rPr>
          <w:rFonts w:ascii="Times New Roman" w:hAnsi="Times New Roman" w:eastAsia="宋体"/>
          <w:b w:val="0"/>
          <w:i w:val="0"/>
          <w:sz w:val="21"/>
        </w:rPr>
        <w:tab/>
        <w:t>（3）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以 θ₀=1−(1/R)log c_main 记同族极限（攻防 XIII[3] 的密度估计路线常数 0.874957 为该极限的候选），并令互斥强度 η=κ·|Δ/N_K|（κ 为密度层读数进入二次矩修正的换算因子，量级 O(1)，见 2.5），得</w:t>
      </w:r>
      <w:r>
        <w:rPr>
          <w:rFonts w:ascii="Times New Roman" w:hAnsi="Times New Roman" w:eastAsia="黑体"/>
          <w:b/>
          <w:i w:val="0"/>
          <w:sz w:val="21"/>
        </w:rPr>
        <w:t>系数定理（条件）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θ_K ≥ θ₀ + c_Δ·(−Δ/N_K)，c_Δ = 1/(R·c_main)。</w:t>
      </w:r>
      <w:r>
        <w:rPr>
          <w:rFonts w:ascii="Times New Roman" w:hAnsi="Times New Roman" w:eastAsia="宋体"/>
          <w:b w:val="0"/>
          <w:i w:val="0"/>
          <w:sz w:val="21"/>
        </w:rPr>
        <w:tab/>
        <w:t>（4）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参数取 Conrey 口径 R=13/10、c_main≈O(1)（攻防 IX §5(2)），得</w:t>
      </w:r>
      <w:r>
        <w:rPr>
          <w:rFonts w:ascii="Times New Roman" w:hAnsi="Times New Roman" w:eastAsia="黑体"/>
          <w:b/>
          <w:i w:val="0"/>
          <w:sz w:val="21"/>
        </w:rPr>
        <w:t>c_Δ ≈ 0.77</w:t>
      </w:r>
      <w:r>
        <w:rPr>
          <w:rFonts w:ascii="Times New Roman" w:hAnsi="Times New Roman" w:eastAsia="宋体"/>
          <w:b w:val="0"/>
          <w:i w:val="0"/>
          <w:sz w:val="21"/>
        </w:rPr>
        <w:t>：每 1% 跨族互斥给出约 0.77% 的在线比例推进。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2.4　数值翻译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249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κ（换算因子）</w:t>
            </w:r>
          </w:p>
        </w:tc>
        <w:tc>
          <w:tcPr>
            <w:tcW w:type="dxa" w:w="294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推进 η/(R·c_main)</w:t>
            </w:r>
          </w:p>
        </w:tc>
        <w:tc>
          <w:tcPr>
            <w:tcW w:type="dxa" w:w="294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θ_K 下界（θ₀=0.875）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0.5（保守）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1.3%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0.888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1.0（基准）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2.6%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0.901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1.5（乐观）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3.9%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0.914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−3.39% 的 θ_K 翻译（c_Δ≈0.77，Δ/N_K=−0.0339）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主读数：</w:t>
      </w:r>
      <w:r>
        <w:rPr>
          <w:rFonts w:ascii="Times New Roman" w:hAnsi="Times New Roman" w:eastAsia="宋体"/>
          <w:b w:val="0"/>
          <w:i w:val="0"/>
          <w:sz w:val="21"/>
        </w:rPr>
        <w:t>θ_K ≥ 0.874957+0.026 ≈ 0.901——首次把互斥信号翻译成可检的 θ_K 数字，且高于 7/8=0.875。该结论是条件形式（2.5），但其量级来自 68σ 稳定的互斥结构而非余项。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2.5　诚实边界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（1）κ 换算未定：η=κ|Δ/N_K| 假设密度层读数全额进入二次矩修正（强形式 H2）；κ∈[0.5,1.5] 区间为保守估计，精确值需定出核 K 后做 ∫(F_cross−F_ind)K 计算（攻防 IX 边界(2)）；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（2）c_main（ζ_K 二次矩主项）未算：取 ≈1 为归一化量级（攻防 IX 边界(3)），其精确值直接改变 c_Δ；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（3）θ₀=0.874957 的无条件性未决：攻防 XIII[3] 给出其为 QRH 代数边界 B_new，若该界有条件（QRH 下），则 0.901 为条件推进；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（4）H2 未验：K 的显式形状依赖 Q、ψ 的具体选择，需 BCHB 型计算核验 ∫(F_cross−F_ind)K&lt;0；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（5）本翻译是加法推进（同 IX），不与任何既有路线冲突；与攻防 XVIII[5] 常数层（−0.334）的判定正交——那里是命题 2.1 的并集失效，这里是 Levinson 二次矩的在线桥。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多 T 稳定性扫描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　主结果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</w:trPr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T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Δ/N_K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Δ/√N_L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mean(A)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var(A)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1×10⁵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−10649.8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−0.035380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−26.4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0.7620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0.1127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2×10⁵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−22434.9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−0.034713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−38.0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0.7720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0.1134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3×10⁵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−34659.1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−0.034373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−47.1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0.7773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0.1138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4×10⁵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−47194.6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−0.034169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−54.8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0.7809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0.1142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5×10⁵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−59966.9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−0.034030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−61.7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0.7835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0.1143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6×10⁵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−72956.4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−0.033940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−68.0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0.7856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0.1144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Δ 的多 T 扫描（R=20 固定口径；Δ 为差分口径，免疫 R–S 伪影）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　收敛判定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294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T 段</w:t>
            </w:r>
          </w:p>
        </w:tc>
        <w:tc>
          <w:tcPr>
            <w:tcW w:type="dxa" w:w="294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Δ(Δ/N_K)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1×10⁵→2×10⁵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+0.000667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2×10⁵→3×10⁵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+0.000340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3×10⁵→4×10⁵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+0.000204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4×10⁵→5×10⁵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+0.000139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5×10⁵→6×10⁵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+0.000090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4　Δ/N_K 的 T 差商（单调递减，约几何衰减）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Δ/N_K 单调上升收敛：−3.538%→−3.394%（+0.14 个百分点），T 差商 0.0007→0.0001 递减且比例接近 1/2；等比外推残差 ≈0.00009×0.5/(1−0.5)≈0.00009–0.0002 ⟹ </w:t>
      </w:r>
      <w:r>
        <w:rPr>
          <w:rFonts w:ascii="Times New Roman" w:hAnsi="Times New Roman" w:eastAsia="黑体"/>
          <w:b/>
          <w:i w:val="0"/>
          <w:sz w:val="21"/>
        </w:rPr>
        <w:t>极限 Δ/N_K(∞) ≈ −3.38%±0.03%</w:t>
      </w:r>
      <w:r>
        <w:rPr>
          <w:rFonts w:ascii="Times New Roman" w:hAnsi="Times New Roman" w:eastAsia="宋体"/>
          <w:b w:val="0"/>
          <w:i w:val="0"/>
          <w:sz w:val="21"/>
        </w:rPr>
        <w:t>。同时 Δ/√N_L 从 −26 增至 −68：负偏置随 N_L 线性增长（O(N_K) 级），绝非随机涨落——确定性互斥结构的标度确认（攻防 IX 下一步(3) 的谱同标度预测得到密度层支持）。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3.3　分块与亚泊松稳定性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分块 per_n：每 T 内三块 ≈ −0.060/−0.064/−0.066，跨 T 无趋势（表 3 后两列与分块数据，见附录 A）——负偏置整体均匀，不来自端点或局部区域。var(A)≈0.114 全程稳定（≈0.146×mean，强亚泊松）；排斥尺度 C(0.5)∈[−0.0180,−0.0172]、C(2)∈[−0.0052,−0.0033] 单调稳定——条件 (D) 的结构（3.2 节方差、可积性）在多 T 下不漂移。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3.4　推进量稳健性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以收敛值 Δ/N_K(∞)=−0.0338 取代单 T 读数 −0.0339，表 2 的推进 2.6% 变化 &lt;0.1 个百分点——推进量对 T 截断稳健。多 T 扫描同时排除 Δ/N_K 随 T 衰减至零的可能（单调收敛到非零常数），互斥对 θ_K 的贡献是常数级的。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判定：7/8 视角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θ_K ≥ 0.874957+0.026 ≈ 0.901 &gt; 7/8=0.875：互斥首次给出超越 7/8 的定量候选。依赖链显式化：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0.901 成立 ⟺ θ₀=0.874957 无条件 ∧ H2（∫(F_cross−F_ind)K&lt;0）∧ κ≈1。</w:t>
      </w:r>
      <w:r>
        <w:rPr>
          <w:rFonts w:ascii="Times New Roman" w:hAnsi="Times New Roman" w:eastAsia="宋体"/>
          <w:b w:val="0"/>
          <w:i w:val="0"/>
          <w:sz w:val="21"/>
        </w:rPr>
        <w:tab/>
        <w:t>（5）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三环现状：θ₀ 无条件性（攻防 XIII 未决）；H2（BCHB 定 K 后核验符号）；κ（=∫(F_cross−F_ind)K/|Δ/N_K|，与 H2 同一计算）。三者皆解析化后，0.901 成为无条件候选；在此之前，本文的贡献是把 7/8 推进的量级（2.6%）从‘未知’变成‘已知且稳健’——缺口在前提链三环，不在互斥信号本身（68σ、多 T 收敛）。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风险检查点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（1）κ/c_main 未定：推进量的绝对标度依赖 c_Δ=1/(R·c_main) 的精确化（BCHB 交叉矩计算，攻防 IX 边界(3)）；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（2）θ₀=0.874957 无条件化未决（攻防 XIII）：若为 QRH 条件界，0.901 同步退化为条件推进；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（3）H2 未验：K 可能在某些 α 带为负（攻防 IX 边界(2)），需定 K 后核验 ∫(F_cross−F_ind)K&lt;0；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（4）多 T 扫描为截断口径（同一数据源前缀），非独立区间：T 差商外推依赖几何衰减假设，更大 T 需独立数据验证；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（5）L 数据 0.27% R–S 伪影：Δ 差分口径免疫，但 S_ζL 绝对值不单独引用。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刘旭东, 刘高源, 王芳, 刘晓春. 路②攻防 IX：D 环解析桥——跨族二次矩与 Levinson–Conrey 缩减的条件推进[Z]. 2026-10.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刘旭东, 刘高源, 王芳, 刘晓春. L4 交叉项估计 II：涨落符号数值定向与在线桥完整余项链[Z]. 2026-10-19.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刘旭东, 刘高源, 王芳, 刘晓春. 路②攻防 XIII：0.874957 语义澄清——QRH 代数边界 B_new[Z]. 2026-10.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刘旭东, 刘高源, 王芳, 刘晓春. 路②攻防 XVII：基线依赖调和——跨族排斥与聚集的成立范围[Z]. 2026-10-19.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刘旭东, 刘高源, 王芳, 刘晓春. 路②攻防 XVIII：Q(0) 控制——mollifier 范数与并集下界恒非正判定[Z]. 2026-10-19.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CONREY J B. At least two fifths of the zeros of the Riemann zeta-function are on the critical line[J]. Bulletin of the American Mathematical Society, 1989, 20: 1–14.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LAMZOURI Y. A new proof that more than 2/3 of the zeros of the Riemann zeta function are simple and on the critical line[EB/OL]. arXiv:2609.02882, 2026. https://arxiv.org/html/2609.02882v1.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MONTGOMERY H L. Pair correlation of zeros of the zeta function[C]//Proceedings of Symposia in Pure Mathematics. Providence: AMS, 1973, 24: 181–193. https://websites.umich.edu/~hlm/paircor1.pdf.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附录 A　计算口径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数据：zeros_T6e5.npz（ζ、L(χ₅) 零点，0&lt;γ≤6×10⁵），对 T′=1×10⁵,…,6×10⁵ 取前缀截断。口径：ℓ=log T′、W=R/ℓ（R=20 固定）、w(u)=4/(4+u²)、A(t)=Σ_{γ∈Z_ζ(T′)}w((γ−t)ℓ)；S_ζL=Σ_{γ′∈Z_L(T′)}A(γ′)，E=Σ log(γ′/2π)/ℓ（逐点期望），Δ=S_ζL−E；边界剔除 γ′∈[12, T′−W]（n_use 见表 3 附近）；分块按 L 零点升序三等分；A(t) 网格 t∈[T′/2+10, T′−10]、Δt=0.25；C(h) 为滞后相关。Δ 为差分口径，对 L 数据 0.27% R–S 求根伪影免疫。差商外推：Δ(Δ/N_K) 相邻 T 差，末差 0.00009、比值约 0.5，残差按几何级数估计。全部计算见 l4_multit.py / l4_multit.json。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