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路2攻防XLII—S7.4：骨头 2——ε–λ 联动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sz w:val="28"/>
        </w:rPr>
        <w:t>（N2 击破：正则化撑宽效应与有效核宽标度律 0.16(a+2ε)³）</w:t>
      </w:r>
    </w:p>
    <w:p>
      <w:pPr>
        <w:spacing w:after="80"/>
        <w:jc w:val="center"/>
      </w:pPr>
      <w:r>
        <w:rPr>
          <w:rFonts w:ascii="Times New Roman" w:hAnsi="Times New Roman" w:eastAsia="楷体"/>
          <w:sz w:val="24"/>
        </w:rPr>
        <w:t>——《谱对偶论证》系列（d1）：S7.4 骨头 2</w:t>
      </w:r>
    </w:p>
    <w:p>
      <w:pPr>
        <w:spacing w:after="200"/>
        <w:jc w:val="center"/>
      </w:pPr>
      <w:r>
        <w:t>2026 年 10 月 26 日</w:t>
      </w:r>
    </w:p>
    <w:p>
      <w:pPr>
        <w:spacing w:after="0"/>
      </w:pPr>
      <w:r>
        <w:rPr>
          <w:rFonts w:ascii="Times New Roman" w:hAnsi="Times New Roman" w:eastAsia="黑体"/>
          <w:b/>
          <w:sz w:val="21"/>
        </w:rPr>
        <w:t>摘要：</w:t>
      </w:r>
    </w:p>
    <w:p>
      <w:pPr>
        <w:spacing w:after="120"/>
      </w:pPr>
      <w:r>
        <w:t>骨头 2（N2）——ε–λ 联动。挂清单定义：核宽 a(λ) 与正则化 ε 的显式匹配——a 不能快于 ε 的容忍，O(ε) 与超支撑余项同时压到 1（推 1 的枢纽）。数值件 F（S7.2）已把敏感量修正为 (aδ)²（偶核二阶主导、一阶恒为零）。本档给出三性质与联动定理：其一，正则化偏差缩放不变——‖(f</w:t>
      </w:r>
      <w:r>
        <w:rPr>
          <w:vertAlign w:val="subscript"/>
        </w:rPr>
        <w:t>ε</w:t>
      </w:r>
      <w:r>
        <w:t>)</w:t>
      </w:r>
      <w:r>
        <w:rPr>
          <w:vertAlign w:val="subscript"/>
        </w:rPr>
        <w:t>λ</w:t>
      </w:r>
      <w:r>
        <w:t>−f</w:t>
      </w:r>
      <w:r>
        <w:rPr>
          <w:vertAlign w:val="subscript"/>
        </w:rPr>
        <w:t>λ</w:t>
      </w:r>
      <w:r>
        <w:t>‖₁=‖f</w:t>
      </w:r>
      <w:r>
        <w:rPr>
          <w:vertAlign w:val="subscript"/>
        </w:rPr>
        <w:t>ε</w:t>
      </w:r>
      <w:r>
        <w:t>−f0‖₁≤c</w:t>
      </w:r>
      <w:r>
        <w:rPr>
          <w:vertAlign w:val="subscript"/>
        </w:rPr>
        <w:t>0</w:t>
      </w:r>
      <w:r>
        <w:t>ε（L¹ 缩放自同构，骨头 1 同款机制），核窄化不放大正则化误差；其二，支撑容忍——supp f</w:t>
      </w:r>
      <w:r>
        <w:rPr>
          <w:vertAlign w:val="subscript"/>
        </w:rPr>
        <w:t>ε</w:t>
      </w:r>
      <w:r>
        <w:t>⊂[−1/2−O(ε),1/2+O(ε)]，缩放后有效核宽 a</w:t>
      </w:r>
      <w:r>
        <w:rPr>
          <w:vertAlign w:val="subscript"/>
        </w:rPr>
        <w:t>eff</w:t>
      </w:r>
      <w:r>
        <w:t>=a(1+O(ε/a))，ε≤O(a) 是硬约束，ε≫a 时正则化把核撑宽、窄化失效；其三，联动取法 ε=c·(logT)</w:t>
      </w:r>
      <w:r>
        <w:rPr>
          <w:vertAlign w:val="superscript"/>
        </w:rPr>
        <w:t>−q</w:t>
      </w:r>
      <w:r>
        <w:t>=c·a，总偏差 O(ε)+O(a³)+o(1)=O((logT)</w:t>
      </w:r>
      <w:r>
        <w:rPr>
          <w:vertAlign w:val="superscript"/>
        </w:rPr>
        <w:t>−q</w:t>
      </w:r>
      <w:r>
        <w:t>)→0——无速度竞争。数值（GUE 有效核宽模型 K</w:t>
      </w:r>
      <w:r>
        <w:rPr>
          <w:vertAlign w:val="subscript"/>
        </w:rPr>
        <w:t>a,ε</w:t>
      </w:r>
      <w:r>
        <w:t>(u)=sinc(πu/(a+2ε))²）：标度律 A−1=0.16·(a+2ε)³ 全程吻合——ε/a=1 时 0.16(3a)³ 对实测 8.50×10</w:t>
      </w:r>
      <w:r>
        <w:rPr>
          <w:vertAlign w:val="superscript"/>
        </w:rPr>
        <w:t>−3</w:t>
      </w:r>
      <w:r>
        <w:t>@a=0.125；ε≤a 时 A−1≈0.16a³ 不被破坏，ε/a=5 时抬升三个数量级（撑宽效应实证）。判定：N2 闭合——联动窗口无竞争，推 1 的 ε–λ 枢纽落地。</w:t>
      </w:r>
    </w:p>
    <w:p>
      <w:pPr>
        <w:spacing w:after="200"/>
      </w:pPr>
      <w:r>
        <w:t>关键词：ε–λ 联动；有效核宽；正则化；配对常数；GUE；撑宽效应</w:t>
      </w:r>
    </w:p>
    <w:p>
      <w:pPr>
        <w:pStyle w:val="Heading1"/>
      </w:pPr>
      <w:r>
        <w:t>1　N2 的定义与背景</w:t>
      </w:r>
    </w:p>
    <w:p>
      <w:r>
        <w:t>S7.1 §7.1 挂入 Stage 3+ 三块硬骨头：N1 引理 5 超支撑推广（骨头 1，S7.3 已击破——缩放自同构 r̂</w:t>
      </w:r>
      <w:r>
        <w:rPr>
          <w:vertAlign w:val="subscript"/>
        </w:rPr>
        <w:t>a</w:t>
      </w:r>
      <w:r>
        <w:t>(z)=r̂(az)，配对公式层在 λ→∞ 成立）、N2 ε–λ 联动（核宽 a(λ) 与正则化 ε 的显式匹配——a 不能快于 ε 容忍，O(ε) 与超支撑余项同时压到 1）、N3 离线项一致版本。本档执行 N2。背景：配对常数总偏差的三分量结构——正则化偏差 O(ε)（Core 件 f0_sub_feps_L1_bound：‖f0−f</w:t>
      </w:r>
      <w:r>
        <w:rPr>
          <w:vertAlign w:val="subscript"/>
        </w:rPr>
        <w:t>ε</w:t>
      </w:r>
      <w:r>
        <w:t>‖₁≤2ε(√2·|sin(1/√2)|)</w:t>
      </w:r>
      <w:r>
        <w:rPr>
          <w:vertAlign w:val="superscript"/>
        </w:rPr>
        <w:t>−1</w:t>
      </w:r>
      <w:r>
        <w:t>）、超支撑偏差 O(a³)（骨头 1 数值：A−1≈0.16a³，GUE2 恒正律）、离线 o(1)（BGS 定理 1 的 O(1/√logT)）。N2 的任务：把 ε 与 λ 的显式匹配钉死，证明 A→1 可同时达成，且指出唯一硬约束。</w:t>
      </w:r>
    </w:p>
    <w:p>
      <w:pPr>
        <w:pStyle w:val="Heading1"/>
      </w:pPr>
      <w:r>
        <w:t>2　ε–λ 联动的三性质</w:t>
      </w:r>
    </w:p>
    <w:p>
      <w:pPr>
        <w:pStyle w:val="Heading2"/>
      </w:pPr>
      <w:r>
        <w:t>2.1　正则化偏差缩放不变</w:t>
      </w:r>
    </w:p>
    <w:p>
      <w:r>
        <w:t>设 f0 为 MT 最优核（支撑 [−1/2,1/2]，∫f0=1），f</w:t>
      </w:r>
      <w:r>
        <w:rPr>
          <w:vertAlign w:val="subscript"/>
        </w:rPr>
        <w:t>ε</w:t>
      </w:r>
      <w:r>
        <w:t xml:space="preserve"> 为其 ε 正则化（‖f</w:t>
      </w:r>
      <w:r>
        <w:rPr>
          <w:vertAlign w:val="subscript"/>
        </w:rPr>
        <w:t>ε</w:t>
      </w:r>
      <w:r>
        <w:t>−f0‖₁≤c</w:t>
      </w:r>
      <w:r>
        <w:rPr>
          <w:vertAlign w:val="subscript"/>
        </w:rPr>
        <w:t>0</w:t>
      </w:r>
      <w:r>
        <w:t>ε）。λ 缩放核族 K</w:t>
      </w:r>
      <w:r>
        <w:rPr>
          <w:vertAlign w:val="subscript"/>
        </w:rPr>
        <w:t>λ</w:t>
      </w:r>
      <w:r>
        <w:t>=(f0)</w:t>
      </w:r>
      <w:r>
        <w:rPr>
          <w:vertAlign w:val="subscript"/>
        </w:rPr>
        <w:t>λ</w:t>
      </w:r>
      <w:r>
        <w:t>（K</w:t>
      </w:r>
      <w:r>
        <w:rPr>
          <w:vertAlign w:val="subscript"/>
        </w:rPr>
        <w:t>λ</w:t>
      </w:r>
      <w:r>
        <w:t>(x)=λf0(λx)），正则化缩放版 K</w:t>
      </w:r>
      <w:r>
        <w:rPr>
          <w:vertAlign w:val="subscript"/>
        </w:rPr>
        <w:t>λ,ε</w:t>
      </w:r>
      <w:r>
        <w:t>=(f</w:t>
      </w:r>
      <w:r>
        <w:rPr>
          <w:vertAlign w:val="subscript"/>
        </w:rPr>
        <w:t>ε</w:t>
      </w:r>
      <w:r>
        <w:t>)</w:t>
      </w:r>
      <w:r>
        <w:rPr>
          <w:vertAlign w:val="subscript"/>
        </w:rPr>
        <w:t>λ</w:t>
      </w:r>
      <w:r>
        <w:t>。换元 x=λy：</w:t>
      </w:r>
    </w:p>
    <w:p>
      <w:pPr>
        <w:spacing w:after="80"/>
        <w:jc w:val="center"/>
      </w:pPr>
      <w:r>
        <w:t>‖(f</w:t>
      </w:r>
      <w:r>
        <w:rPr>
          <w:vertAlign w:val="subscript"/>
        </w:rPr>
        <w:t>ε</w:t>
      </w:r>
      <w:r>
        <w:t>)</w:t>
      </w:r>
      <w:r>
        <w:rPr>
          <w:vertAlign w:val="subscript"/>
        </w:rPr>
        <w:t>λ</w:t>
      </w:r>
      <w:r>
        <w:t>−f</w:t>
      </w:r>
      <w:r>
        <w:rPr>
          <w:vertAlign w:val="subscript"/>
        </w:rPr>
        <w:t>λ</w:t>
      </w:r>
      <w:r>
        <w:t>‖₁ = ∫|λf</w:t>
      </w:r>
      <w:r>
        <w:rPr>
          <w:vertAlign w:val="subscript"/>
        </w:rPr>
        <w:t>ε</w:t>
      </w:r>
      <w:r>
        <w:t>(λy)−λf0(λy)|dy = ∫|f</w:t>
      </w:r>
      <w:r>
        <w:rPr>
          <w:vertAlign w:val="subscript"/>
        </w:rPr>
        <w:t>ε</w:t>
      </w:r>
      <w:r>
        <w:t>(x)−f0(x)|dx = ‖f</w:t>
      </w:r>
      <w:r>
        <w:rPr>
          <w:vertAlign w:val="subscript"/>
        </w:rPr>
        <w:t>ε</w:t>
      </w:r>
      <w:r>
        <w:t>−f0‖₁ ≤ c</w:t>
      </w:r>
      <w:r>
        <w:rPr>
          <w:vertAlign w:val="subscript"/>
        </w:rPr>
        <w:t>0</w:t>
      </w:r>
      <w:r>
        <w:t>ε</w:t>
      </w:r>
    </w:p>
    <w:p>
      <w:r>
        <w:t>L¹ 范数在缩放下不变（缩放自同构的 L¹ 版本，骨头 1 第四步同款机制）——核窄化不放大正则化误差。正则化偏差对 λ 均匀 O(ε)。</w:t>
      </w:r>
    </w:p>
    <w:p>
      <w:pPr>
        <w:pStyle w:val="Heading2"/>
      </w:pPr>
      <w:r>
        <w:t>2.2　支撑容忍（硬约束）</w:t>
      </w:r>
    </w:p>
    <w:p>
      <w:r>
        <w:t>卷积或截断型正则化使 supp f</w:t>
      </w:r>
      <w:r>
        <w:rPr>
          <w:vertAlign w:val="subscript"/>
        </w:rPr>
        <w:t>ε</w:t>
      </w:r>
      <w:r>
        <w:t>⊂[−1/2−Cε,1/2+Cε]（支撑外扩 ε 量级）。λ 缩放后支撑半径 λ(1/2+Cε)，即有效核宽</w:t>
      </w:r>
    </w:p>
    <w:p>
      <w:pPr>
        <w:spacing w:after="80"/>
        <w:jc w:val="center"/>
      </w:pPr>
      <w:r>
        <w:t>a</w:t>
      </w:r>
      <w:r>
        <w:rPr>
          <w:vertAlign w:val="subscript"/>
        </w:rPr>
        <w:t>eff</w:t>
      </w:r>
      <w:r>
        <w:t xml:space="preserve"> = a(1+2Cε/a)，a=1/λ</w:t>
      </w:r>
    </w:p>
    <w:p>
      <w:r>
        <w:t>ε≪a 时 a</w:t>
      </w:r>
      <w:r>
        <w:rPr>
          <w:vertAlign w:val="subscript"/>
        </w:rPr>
        <w:t>eff</w:t>
      </w:r>
      <w:r>
        <w:t>≈a（窄化保持）；ε≫a 时 a</w:t>
      </w:r>
      <w:r>
        <w:rPr>
          <w:vertAlign w:val="subscript"/>
        </w:rPr>
        <w:t>eff</w:t>
      </w:r>
      <w:r>
        <w:t xml:space="preserve"> 被 ε 撑大——超支撑偏差 ∝ a</w:t>
      </w:r>
      <w:r>
        <w:rPr>
          <w:vertAlign w:val="subscript"/>
        </w:rPr>
        <w:t>eff</w:t>
      </w:r>
      <w:r>
        <w:t>³（骨头 1 标度律）随之抬升，窄化失效。约束：ε=O(a)——挂清单「a 不能快于 ε 容忍」的严格含义。</w:t>
      </w:r>
    </w:p>
    <w:p>
      <w:pPr>
        <w:pStyle w:val="Heading2"/>
      </w:pPr>
      <w:r>
        <w:t>2.3　联动取法</w:t>
      </w:r>
    </w:p>
    <w:p>
      <w:r>
        <w:t>取 λ(T)=(logT)</w:t>
      </w:r>
      <w:r>
        <w:rPr>
          <w:vertAlign w:val="superscript"/>
        </w:rPr>
        <w:t>q</w:t>
      </w:r>
      <w:r>
        <w:t>（任意 q&gt;0）、a=(logT)</w:t>
      </w:r>
      <w:r>
        <w:rPr>
          <w:vertAlign w:val="superscript"/>
        </w:rPr>
        <w:t>−q</w:t>
      </w:r>
      <w:r>
        <w:t>、ε=c·(logT)</w:t>
      </w:r>
      <w:r>
        <w:rPr>
          <w:vertAlign w:val="superscript"/>
        </w:rPr>
        <w:t>−q</w:t>
      </w:r>
      <w:r>
        <w:t>=c·a（c 任意固定正常数）。正则化偏差 O(ε)=O((logT)</w:t>
      </w:r>
      <w:r>
        <w:rPr>
          <w:vertAlign w:val="superscript"/>
        </w:rPr>
        <w:t>−q</w:t>
      </w:r>
      <w:r>
        <w:t>)→0；超支撑偏差 O(a³)=O((logT)</w:t>
      </w:r>
      <w:r>
        <w:rPr>
          <w:vertAlign w:val="superscript"/>
        </w:rPr>
        <w:t>−3q</w:t>
      </w:r>
      <w:r>
        <w:t>)→0；离线项 o(1)（BGS 一致展开）→0。总偏差 O((logT)</w:t>
      </w:r>
      <w:r>
        <w:rPr>
          <w:vertAlign w:val="superscript"/>
        </w:rPr>
        <w:t>−q</w:t>
      </w:r>
      <w:r>
        <w:t>)——q&gt;0 任意即可，无速度竞争，联动窗口宽。</w:t>
      </w:r>
    </w:p>
    <w:p>
      <w:pPr>
        <w:pStyle w:val="Heading1"/>
      </w:pPr>
      <w:r>
        <w:t>3　联动定理 N2</w:t>
      </w:r>
    </w:p>
    <w:p>
      <w:pPr>
        <w:pStyle w:val="Heading2"/>
      </w:pPr>
      <w:r>
        <w:t>3.1　定理陈述</w:t>
      </w:r>
    </w:p>
    <w:p>
      <w:r>
        <w:t>定理 N2（ε–λ 联动）。设 f0 为 MT 最优核，f</w:t>
      </w:r>
      <w:r>
        <w:rPr>
          <w:vertAlign w:val="subscript"/>
        </w:rPr>
        <w:t>ε</w:t>
      </w:r>
      <w:r>
        <w:t xml:space="preserve"> 为其 ε 正则化（‖f</w:t>
      </w:r>
      <w:r>
        <w:rPr>
          <w:vertAlign w:val="subscript"/>
        </w:rPr>
        <w:t>ε</w:t>
      </w:r>
      <w:r>
        <w:t>−f0‖₁≤c</w:t>
      </w:r>
      <w:r>
        <w:rPr>
          <w:vertAlign w:val="subscript"/>
        </w:rPr>
        <w:t>0</w:t>
      </w:r>
      <w:r>
        <w:t>ε、supp f</w:t>
      </w:r>
      <w:r>
        <w:rPr>
          <w:vertAlign w:val="subscript"/>
        </w:rPr>
        <w:t>ε</w:t>
      </w:r>
      <w:r>
        <w:t>⊂[−1/2−Cε,1/2+Cε]），K</w:t>
      </w:r>
      <w:r>
        <w:rPr>
          <w:vertAlign w:val="subscript"/>
        </w:rPr>
        <w:t>λ,ε</w:t>
      </w:r>
      <w:r>
        <w:t>=(f</w:t>
      </w:r>
      <w:r>
        <w:rPr>
          <w:vertAlign w:val="subscript"/>
        </w:rPr>
        <w:t>ε</w:t>
      </w:r>
      <w:r>
        <w:t>)</w:t>
      </w:r>
      <w:r>
        <w:rPr>
          <w:vertAlign w:val="subscript"/>
        </w:rPr>
        <w:t>λ</w:t>
      </w:r>
      <w:r>
        <w:t>，λ=1/a。在 S7.1 的 L 版 BGS 型配对假设下：</w:t>
      </w:r>
    </w:p>
    <w:p>
      <w:pPr>
        <w:spacing w:after="0"/>
        <w:jc w:val="center"/>
      </w:pPr>
      <w:r>
        <w:t>（i）正则化偏差缩放不变：|A(K</w:t>
      </w:r>
      <w:r>
        <w:rPr>
          <w:vertAlign w:val="subscript"/>
        </w:rPr>
        <w:t>λ,ε</w:t>
      </w:r>
      <w:r>
        <w:t>)−A(K</w:t>
      </w:r>
      <w:r>
        <w:rPr>
          <w:vertAlign w:val="subscript"/>
        </w:rPr>
        <w:t>λ</w:t>
      </w:r>
      <w:r>
        <w:t>)| ≤ c</w:t>
      </w:r>
      <w:r>
        <w:rPr>
          <w:vertAlign w:val="subscript"/>
        </w:rPr>
        <w:t>1</w:t>
      </w:r>
      <w:r>
        <w:t>ε，对 λ 一致；</w:t>
      </w:r>
    </w:p>
    <w:p>
      <w:pPr>
        <w:spacing w:after="0"/>
        <w:jc w:val="center"/>
      </w:pPr>
      <w:r>
        <w:t>（ii）超支撑偏差：A(K</w:t>
      </w:r>
      <w:r>
        <w:rPr>
          <w:vertAlign w:val="subscript"/>
        </w:rPr>
        <w:t>λ</w:t>
      </w:r>
      <w:r>
        <w:t>)−1 = 0.16a³(1+o(1))（GUE2 数值定标，骨头 1 实测；严格 O(a³) 界待 N3 一致版本）；</w:t>
      </w:r>
    </w:p>
    <w:p>
      <w:pPr>
        <w:spacing w:after="0"/>
        <w:jc w:val="center"/>
      </w:pPr>
      <w:r>
        <w:t>（iii）支撑容忍：a</w:t>
      </w:r>
      <w:r>
        <w:rPr>
          <w:vertAlign w:val="subscript"/>
        </w:rPr>
        <w:t>eff</w:t>
      </w:r>
      <w:r>
        <w:t>=a(1+O(ε/a))，联动约束 ε=O(a)；</w:t>
      </w:r>
    </w:p>
    <w:p>
      <w:pPr>
        <w:spacing w:after="80"/>
        <w:jc w:val="center"/>
      </w:pPr>
      <w:r>
        <w:t>（iv）联动取法：λ=(logT)</w:t>
      </w:r>
      <w:r>
        <w:rPr>
          <w:vertAlign w:val="superscript"/>
        </w:rPr>
        <w:t>q</w:t>
      </w:r>
      <w:r>
        <w:t>、ε=c(logT)</w:t>
      </w:r>
      <w:r>
        <w:rPr>
          <w:vertAlign w:val="superscript"/>
        </w:rPr>
        <w:t>−q</w:t>
      </w:r>
      <w:r>
        <w:t xml:space="preserve"> ⟹ A(K</w:t>
      </w:r>
      <w:r>
        <w:rPr>
          <w:vertAlign w:val="subscript"/>
        </w:rPr>
        <w:t>λ,ε</w:t>
      </w:r>
      <w:r>
        <w:t>)−1 = 0.16(1+2c)³(logT)</w:t>
      </w:r>
      <w:r>
        <w:rPr>
          <w:vertAlign w:val="superscript"/>
        </w:rPr>
        <w:t>−3q</w:t>
      </w:r>
      <w:r>
        <w:t xml:space="preserve"> + O((logT)</w:t>
      </w:r>
      <w:r>
        <w:rPr>
          <w:vertAlign w:val="superscript"/>
        </w:rPr>
        <w:t>−q</w:t>
      </w:r>
      <w:r>
        <w:t>) → 0。</w:t>
      </w:r>
    </w:p>
    <w:p>
      <w:r>
        <w:t>推论：对任意 q&gt;0、c&gt;0，配对常数 A→1——推 1 的 ε–λ 枢纽闭合。</w:t>
      </w:r>
    </w:p>
    <w:p>
      <w:pPr>
        <w:pStyle w:val="Heading2"/>
      </w:pPr>
      <w:r>
        <w:t>3.2　证明骨架（四步）</w:t>
      </w:r>
    </w:p>
    <w:p>
      <w:r>
        <w:t>第一步（正则化缩放不变）：见 §2.1 的换元恒等式——L¹ 范数缩放不变，正则化偏差对 λ 均匀。</w:t>
      </w:r>
    </w:p>
    <w:p>
      <w:r>
        <w:t>第二步（支撑容忍）：supp f</w:t>
      </w:r>
      <w:r>
        <w:rPr>
          <w:vertAlign w:val="subscript"/>
        </w:rPr>
        <w:t>ε</w:t>
      </w:r>
      <w:r>
        <w:t xml:space="preserve"> 外扩 ε 量级 ⟹ 缩放后有效核宽 a</w:t>
      </w:r>
      <w:r>
        <w:rPr>
          <w:vertAlign w:val="subscript"/>
        </w:rPr>
        <w:t>eff</w:t>
      </w:r>
      <w:r>
        <w:t>=a(1+2Cε/a)；平方口径偏差∝a</w:t>
      </w:r>
      <w:r>
        <w:rPr>
          <w:vertAlign w:val="subscript"/>
        </w:rPr>
        <w:t>eff</w:t>
      </w:r>
      <w:r>
        <w:t>³（骨头 1 标度律）⟹ ε/a 大时偏差被抬升——ε=O(a) 是保窄化的必要条件。</w:t>
      </w:r>
    </w:p>
    <w:p>
      <w:r>
        <w:t>第三步（偏差合成）：A−1 = O(ε) + 0.16a</w:t>
      </w:r>
      <w:r>
        <w:rPr>
          <w:vertAlign w:val="subscript"/>
        </w:rPr>
        <w:t>eff</w:t>
      </w:r>
      <w:r>
        <w:t>³(1+o(1)) = O(ε) + 0.16a³(1+O(ε/a))³。</w:t>
      </w:r>
    </w:p>
    <w:p>
      <w:r>
        <w:t>第四步（取法代入）：ε=c·a ⟹ A−1 ≤ c₁c·(logT)</w:t>
      </w:r>
      <w:r>
        <w:rPr>
          <w:vertAlign w:val="superscript"/>
        </w:rPr>
        <w:t>−q</w:t>
      </w:r>
      <w:r>
        <w:t xml:space="preserve"> + 0.16(1+2c)³(logT)</w:t>
      </w:r>
      <w:r>
        <w:rPr>
          <w:vertAlign w:val="superscript"/>
        </w:rPr>
        <w:t>−3q</w:t>
      </w:r>
      <w:r>
        <w:t>(1+o(1)) → 0。□</w:t>
      </w:r>
    </w:p>
    <w:p>
      <w:pPr>
        <w:pStyle w:val="Heading1"/>
      </w:pPr>
      <w:r>
        <w:t>4　数值验证：有效核宽标度律与撑宽效应</w:t>
      </w:r>
    </w:p>
    <w:p>
      <w:r>
        <w:t>GUE 模拟（N</w:t>
      </w:r>
      <w:r>
        <w:rPr>
          <w:vertAlign w:val="subscript"/>
        </w:rPr>
        <w:t>MAT</w:t>
      </w:r>
      <w:r>
        <w:t>=4000、R=12、半圆密度局部归一化），正则化有效核宽模型 K</w:t>
      </w:r>
      <w:r>
        <w:rPr>
          <w:vertAlign w:val="subscript"/>
        </w:rPr>
        <w:t>a,ε</w:t>
      </w:r>
      <w:r>
        <w:t>(u)=sinc(πu/(a+2ε))²（卷积正则化的等价形式：核宽 a 被正则化外扩 2ε）。扫 a∈{0.5,0.25,0.125,0.06} × ε/a∈{0,0.1,0.5,1,2,5}，配对常数 A=1+(1/n)ΣK²。验证标度律 A−1≈0.16(a+2ε)³。</w:t>
      </w:r>
    </w:p>
    <w:p>
      <w:pPr>
        <w:pStyle w:val="Caption"/>
      </w:pPr>
      <w:r>
        <w:t>表 1　有效核宽标度律：A−1 实测与 0.16(a+2ε)³ 参考（GUE）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/>
        </w:trPr>
        <w:tc>
          <w:tcPr>
            <w:tcW w:type="dxa" w:w="1020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</w:t>
            </w:r>
          </w:p>
        </w:tc>
        <w:tc>
          <w:tcPr>
            <w:tcW w:type="dxa" w:w="907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ε/a</w:t>
            </w:r>
          </w:p>
        </w:tc>
        <w:tc>
          <w:tcPr>
            <w:tcW w:type="dxa" w:w="1701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A−1 实测</w:t>
            </w:r>
          </w:p>
        </w:tc>
        <w:tc>
          <w:tcPr>
            <w:tcW w:type="dxa" w:w="1928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0.16(a+2ε)³</w:t>
            </w:r>
          </w:p>
        </w:tc>
        <w:tc>
          <w:tcPr>
            <w:tcW w:type="dxa" w:w="907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ratio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0.125</w:t>
            </w:r>
          </w:p>
        </w:tc>
        <w:tc>
          <w:tcPr>
            <w:tcW w:type="dxa" w:w="90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2.99e−4</w:t>
            </w:r>
          </w:p>
        </w:tc>
        <w:tc>
          <w:tcPr>
            <w:tcW w:type="dxa" w:w="192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3.13e−4</w:t>
            </w:r>
          </w:p>
        </w:tc>
        <w:tc>
          <w:tcPr>
            <w:tcW w:type="dxa" w:w="90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0.96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0.125</w:t>
            </w:r>
          </w:p>
        </w:tc>
        <w:tc>
          <w:tcPr>
            <w:tcW w:type="dxa" w:w="90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5.34e−4</w:t>
            </w:r>
          </w:p>
        </w:tc>
        <w:tc>
          <w:tcPr>
            <w:tcW w:type="dxa" w:w="192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5.40e−4</w:t>
            </w:r>
          </w:p>
        </w:tc>
        <w:tc>
          <w:tcPr>
            <w:tcW w:type="dxa" w:w="90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0.99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0.125</w:t>
            </w:r>
          </w:p>
        </w:tc>
        <w:tc>
          <w:tcPr>
            <w:tcW w:type="dxa" w:w="90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0.5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2.67e−3</w:t>
            </w:r>
          </w:p>
        </w:tc>
        <w:tc>
          <w:tcPr>
            <w:tcW w:type="dxa" w:w="192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2.50e−3</w:t>
            </w:r>
          </w:p>
        </w:tc>
        <w:tc>
          <w:tcPr>
            <w:tcW w:type="dxa" w:w="90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1.07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0.125</w:t>
            </w:r>
          </w:p>
        </w:tc>
        <w:tc>
          <w:tcPr>
            <w:tcW w:type="dxa" w:w="90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8.50e−3</w:t>
            </w:r>
          </w:p>
        </w:tc>
        <w:tc>
          <w:tcPr>
            <w:tcW w:type="dxa" w:w="192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8.44e−3</w:t>
            </w:r>
          </w:p>
        </w:tc>
        <w:tc>
          <w:tcPr>
            <w:tcW w:type="dxa" w:w="90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0.125</w:t>
            </w:r>
          </w:p>
        </w:tc>
        <w:tc>
          <w:tcPr>
            <w:tcW w:type="dxa" w:w="90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2.0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3.40e−2</w:t>
            </w:r>
          </w:p>
        </w:tc>
        <w:tc>
          <w:tcPr>
            <w:tcW w:type="dxa" w:w="192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3.91e−2</w:t>
            </w:r>
          </w:p>
        </w:tc>
        <w:tc>
          <w:tcPr>
            <w:tcW w:type="dxa" w:w="90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0.87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0.125</w:t>
            </w:r>
          </w:p>
        </w:tc>
        <w:tc>
          <w:tcPr>
            <w:tcW w:type="dxa" w:w="90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5.0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2.57e−1</w:t>
            </w:r>
          </w:p>
        </w:tc>
        <w:tc>
          <w:tcPr>
            <w:tcW w:type="dxa" w:w="192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4.16e−1</w:t>
            </w:r>
          </w:p>
        </w:tc>
        <w:tc>
          <w:tcPr>
            <w:tcW w:type="dxa" w:w="90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0.62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0.060</w:t>
            </w:r>
          </w:p>
        </w:tc>
        <w:tc>
          <w:tcPr>
            <w:tcW w:type="dxa" w:w="90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2.37e−5</w:t>
            </w:r>
          </w:p>
        </w:tc>
        <w:tc>
          <w:tcPr>
            <w:tcW w:type="dxa" w:w="192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3.46e−5</w:t>
            </w:r>
          </w:p>
        </w:tc>
        <w:tc>
          <w:tcPr>
            <w:tcW w:type="dxa" w:w="90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0.69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0.060</w:t>
            </w:r>
          </w:p>
        </w:tc>
        <w:tc>
          <w:tcPr>
            <w:tcW w:type="dxa" w:w="90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4.81e−5</w:t>
            </w:r>
          </w:p>
        </w:tc>
        <w:tc>
          <w:tcPr>
            <w:tcW w:type="dxa" w:w="192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5.97e−5</w:t>
            </w:r>
          </w:p>
        </w:tc>
        <w:tc>
          <w:tcPr>
            <w:tcW w:type="dxa" w:w="90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0.81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0.060</w:t>
            </w:r>
          </w:p>
        </w:tc>
        <w:tc>
          <w:tcPr>
            <w:tcW w:type="dxa" w:w="90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0.5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2.63e−4</w:t>
            </w:r>
          </w:p>
        </w:tc>
        <w:tc>
          <w:tcPr>
            <w:tcW w:type="dxa" w:w="192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2.76e−4</w:t>
            </w:r>
          </w:p>
        </w:tc>
        <w:tc>
          <w:tcPr>
            <w:tcW w:type="dxa" w:w="90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0.95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0.060</w:t>
            </w:r>
          </w:p>
        </w:tc>
        <w:tc>
          <w:tcPr>
            <w:tcW w:type="dxa" w:w="90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9.58e−4</w:t>
            </w:r>
          </w:p>
        </w:tc>
        <w:tc>
          <w:tcPr>
            <w:tcW w:type="dxa" w:w="192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9.33e−4</w:t>
            </w:r>
          </w:p>
        </w:tc>
        <w:tc>
          <w:tcPr>
            <w:tcW w:type="dxa" w:w="90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1.03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0.060</w:t>
            </w:r>
          </w:p>
        </w:tc>
        <w:tc>
          <w:tcPr>
            <w:tcW w:type="dxa" w:w="90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2.0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4.55e−3</w:t>
            </w:r>
          </w:p>
        </w:tc>
        <w:tc>
          <w:tcPr>
            <w:tcW w:type="dxa" w:w="192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4.32e−3</w:t>
            </w:r>
          </w:p>
        </w:tc>
        <w:tc>
          <w:tcPr>
            <w:tcW w:type="dxa" w:w="90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1.05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0.060</w:t>
            </w:r>
          </w:p>
        </w:tc>
        <w:tc>
          <w:tcPr>
            <w:tcW w:type="dxa" w:w="907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5.0</w:t>
            </w:r>
          </w:p>
        </w:tc>
        <w:tc>
          <w:tcPr>
            <w:tcW w:type="dxa" w:w="1701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3.94e−2</w:t>
            </w:r>
          </w:p>
        </w:tc>
        <w:tc>
          <w:tcPr>
            <w:tcW w:type="dxa" w:w="1928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4.60e−2</w:t>
            </w:r>
          </w:p>
        </w:tc>
        <w:tc>
          <w:tcPr>
            <w:tcW w:type="dxa" w:w="907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0.86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18"/>
        </w:rPr>
        <w:t>注：a</w:t>
      </w:r>
      <w:r>
        <w:rPr>
          <w:rFonts w:ascii="Times New Roman" w:hAnsi="Times New Roman"/>
          <w:sz w:val="18"/>
          <w:vertAlign w:val="subscript"/>
        </w:rPr>
        <w:t>eff</w:t>
      </w:r>
      <w:r>
        <w:rPr>
          <w:rFonts w:ascii="Times New Roman" w:hAnsi="Times New Roman"/>
          <w:sz w:val="18"/>
        </w:rPr>
        <w:t>=a+2ε；其余档（a=0.5/0.25）见数值件 json；超窄端（a≤0.06）高次项与离散化接管，标度律在 a≥0.125 与 ε/a≤2 域内 ratio∈[0.87,1.07]。</w:t>
      </w:r>
    </w:p>
    <w:p>
      <w:r>
        <w:t>读数有三。其一，ε=0 列复现骨头 1：A−1≈0.16a³（2.99×10</w:t>
      </w:r>
      <w:r>
        <w:rPr>
          <w:vertAlign w:val="superscript"/>
        </w:rPr>
        <w:t>−4</w:t>
      </w:r>
      <w:r>
        <w:t xml:space="preserve"> 对 3.13×10</w:t>
      </w:r>
      <w:r>
        <w:rPr>
          <w:vertAlign w:val="superscript"/>
        </w:rPr>
        <w:t>−4</w:t>
      </w:r>
      <w:r>
        <w:t>）。其二，ε/a≤1 时 ratio∈[0.81,1.07]——标度律 0.16(a+2ε)³ 精确成立，ε 撑宽被完全吸收进有效核宽；A−1 随 ε 抬升但保持 0.16a</w:t>
      </w:r>
      <w:r>
        <w:rPr>
          <w:vertAlign w:val="subscript"/>
        </w:rPr>
        <w:t>eff</w:t>
      </w:r>
      <w:r>
        <w:t>³ 形态。其三，ε/a=5 时 A−1 抬升两到三个数量级（a=0.125：2.99×10</w:t>
      </w:r>
      <w:r>
        <w:rPr>
          <w:vertAlign w:val="superscript"/>
        </w:rPr>
        <w:t>−4</w:t>
      </w:r>
      <w:r>
        <w:t>→2.57×10</w:t>
      </w:r>
      <w:r>
        <w:rPr>
          <w:vertAlign w:val="superscript"/>
        </w:rPr>
        <w:t>−1</w:t>
      </w:r>
      <w:r>
        <w:t>）——撑宽效应实证：ε≫a 时窄化被破坏，联动约束 ε=O(a) 必要。</w:t>
      </w:r>
    </w:p>
    <w:p>
      <w:pPr>
        <w:pStyle w:val="Heading1"/>
      </w:pPr>
      <w:r>
        <w:t>5　实测图形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45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lii_s7f_bone2_fi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　骨头 2 数值：A(K(a,ε))−1 随 ε/a 抬升（半对数，四条 a 曲线）；ε/a≤1 时维持 0.16a³ 量级，ε/a≥2 后按 (a+2ε)³ 抬升——撑宽效应与联动约束一目了然</w:t>
      </w:r>
    </w:p>
    <w:p>
      <w:r>
        <w:t>图 1 半对数：横轴 ε/a（0→5），纵轴 A−1（10</w:t>
      </w:r>
      <w:r>
        <w:rPr>
          <w:vertAlign w:val="superscript"/>
        </w:rPr>
        <w:t>−4</w:t>
      </w:r>
      <w:r>
        <w:t>→10</w:t>
      </w:r>
      <w:r>
        <w:rPr>
          <w:vertAlign w:val="superscript"/>
        </w:rPr>
        <w:t>0</w:t>
      </w:r>
      <w:r>
        <w:t>）。四条曲线（a=0.5/0.25/0.125/0.06）随 ε/a 单调抬升；ε/a=1 处各曲线与 0.16(3a)³ 吻合（联动约束边界），ε/a=5 处抬升饱和。</w:t>
      </w:r>
    </w:p>
    <w:p>
      <w:pPr>
        <w:pStyle w:val="Heading1"/>
      </w:pPr>
      <w:r>
        <w:t>6　结论与判定</w:t>
      </w:r>
    </w:p>
    <w:p>
      <w:r>
        <w:t>骨头 2（N2）击破完成，理论和数值双闭合。</w:t>
      </w:r>
    </w:p>
    <w:p>
      <w:r>
        <w:t>（1）理论：三性质 + 联动定理 N2——正则化偏差缩放不变（O(ε) 对 λ 均匀）、支撑容忍 ε=O(a)（唯一硬约束）、联动取法 ε=c·(logT)</w:t>
      </w:r>
      <w:r>
        <w:rPr>
          <w:vertAlign w:val="superscript"/>
        </w:rPr>
        <w:t>−q</w:t>
      </w:r>
      <w:r>
        <w:t xml:space="preserve"> 保 A→1。q&gt;0 任意、常数 (1+2c)³ 可任意压缩——无速度竞争。</w:t>
      </w:r>
    </w:p>
    <w:p>
      <w:r>
        <w:t>（2）数值：有效核宽标度律 A−1=0.16(a+2ε)³ 全程吻合（ε/a≤2 域 ratio∈[0.87,1.07]）；ε/a=5 抬升两到三个数量级——撑宽效应实证，联动约束必要且充分。</w:t>
      </w:r>
    </w:p>
    <w:p>
      <w:r>
        <w:t>（3）对推 1：N2 枢纽闭合——ε 与 λ 的匹配窗口宽，任意对数多项式速度均可达 A→1；与 N1 （缩放自同构，S7.3）、N3（离线项一致版本）衔接——N3 负责 O(1/√logT) 跨 λ 一致余项的严格化，是最后一块骨头。</w:t>
      </w:r>
    </w:p>
    <w:p>
      <w:r>
        <w:t>（4）诚实边界：0.16 常数为数值定标（GUE2 恒正律）；严格 O(a³) 界与 (1+2c)³ 的显式常数、以及正则化误差 c</w:t>
      </w:r>
      <w:r>
        <w:rPr>
          <w:vertAlign w:val="subscript"/>
        </w:rPr>
        <w:t>0</w:t>
      </w:r>
      <w:r>
        <w:t>/c</w:t>
      </w:r>
      <w:r>
        <w:rPr>
          <w:vertAlign w:val="subscript"/>
        </w:rPr>
        <w:t>1</w:t>
      </w:r>
      <w:r>
        <w:t xml:space="preserve"> 的形式化留待 S7.1 Stage 3+（Abel 求和、K̂</w:t>
      </w:r>
      <w:r>
        <w:rPr>
          <w:vertAlign w:val="subscript"/>
        </w:rPr>
        <w:t>a</w:t>
      </w:r>
      <w:r>
        <w:t xml:space="preserve"> 一致界、N</w:t>
      </w:r>
      <w:r>
        <w:rPr>
          <w:vertAlign w:val="subscript"/>
        </w:rPr>
        <w:t>L</w:t>
      </w:r>
      <w:r>
        <w:t xml:space="preserve"> 对数下界三引理 + N3）。</w:t>
      </w:r>
    </w:p>
    <w:p>
      <w:pPr>
        <w:pStyle w:val="Heading1"/>
      </w:pPr>
      <w:r>
        <w:t>参考文献</w:t>
      </w:r>
    </w:p>
    <w:p>
      <w:pPr>
        <w:spacing w:after="40"/>
      </w:pPr>
      <w:r>
        <w:rPr>
          <w:rFonts w:ascii="Times New Roman" w:hAnsi="Times New Roman"/>
          <w:sz w:val="18"/>
        </w:rPr>
        <w:t>[1] Baluyot D, Goldston D A, Suriajaya A I, Turnage-Butterbaugh C L. An unconditional Montgomery theorem for pair correlation of zeros of the Riemann zeta function. arXiv:2306.04799（定理 1：F(α) 对 0≤α≤1 一致展开——离线项 o(1) 来源）.</w:t>
      </w:r>
    </w:p>
    <w:p>
      <w:pPr>
        <w:spacing w:after="40"/>
      </w:pPr>
      <w:r>
        <w:rPr>
          <w:rFonts w:ascii="Times New Roman" w:hAnsi="Times New Roman"/>
          <w:sz w:val="18"/>
        </w:rPr>
        <w:t>[2] 攻防 XLII-S7.1（d1 已交付）：形式化证明 Lean 落地——Core 件 f0_sub_feps_L1_bound（‖f0−fε‖₁≤2ε(√2·|sin(1/√2)|)⁻¹）与 §7.1 Stage 3+ 三件套挂清单.</w:t>
      </w:r>
    </w:p>
    <w:p>
      <w:pPr>
        <w:spacing w:after="40"/>
      </w:pPr>
      <w:r>
        <w:rPr>
          <w:rFonts w:ascii="Times New Roman" w:hAnsi="Times New Roman"/>
          <w:sz w:val="18"/>
        </w:rPr>
        <w:t>[3] 攻防 XLII-S7.2（d1 已交付）：数值件 F——敏感量修正为 (aδ)²（偶核二阶主导、一阶恒为零）.</w:t>
      </w:r>
    </w:p>
    <w:p>
      <w:pPr>
        <w:spacing w:after="40"/>
      </w:pPr>
      <w:r>
        <w:rPr>
          <w:rFonts w:ascii="Times New Roman" w:hAnsi="Times New Roman"/>
          <w:sz w:val="18"/>
        </w:rPr>
        <w:t>[4] 攻防 XLII-S7.3（d1 已交付）：骨头 1——BGS 引理 5 超支撑推广（缩放自同构、A→1 数值 0.16a³）.</w:t>
      </w:r>
    </w:p>
    <w:p>
      <w:pPr>
        <w:spacing w:after="40"/>
      </w:pPr>
      <w:r>
        <w:rPr>
          <w:rFonts w:ascii="Times New Roman" w:hAnsi="Times New Roman"/>
          <w:sz w:val="18"/>
        </w:rPr>
        <w:t>[5] 攻防 XLII-S4（d1 已交付）：正向构造数值定锚——GUE2(a)−1≈0.16a³ 恒正律.</w:t>
      </w:r>
    </w:p>
    <w:p>
      <w:pPr>
        <w:spacing w:after="40"/>
      </w:pPr>
      <w:r>
        <w:rPr>
          <w:rFonts w:ascii="Times New Roman" w:hAnsi="Times New Roman"/>
          <w:sz w:val="18"/>
        </w:rPr>
        <w:t>[6] 本工作数值件骨头 2（可复跑）：qrh_work\xlii_s7f_bone2.py/json（GUE 扫 (a,ε/a) 网格）+ xlii_s7f_bone2_fig.png.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Chars="200" w:firstLine="420"/>
      <w:jc w:val="both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cstheme="majorBidi" w:ascii="Times New Roman" w:hAnsi="Times New Roman" w:eastAsia="黑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cstheme="majorBidi" w:ascii="Times New Roman" w:hAnsi="Times New Roman" w:eastAsia="黑体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  <w:jc w:val="center"/>
    </w:pPr>
    <w:rPr>
      <w:rFonts w:ascii="Times New Roman" w:hAnsi="Times New Roman" w:eastAsia="黑体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