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路2攻防XLII—S7.5：骨头 3——离线项一致版本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（N3 击破：BGS 余项跨 λ 一致——离线障碍无核宽依赖）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——《谱对偶论证》系列（d1）：S7.5 骨头 3</w:t>
      </w:r>
    </w:p>
    <w:p>
      <w:pPr>
        <w:spacing w:after="200"/>
        <w:jc w:val="center"/>
      </w:pPr>
      <w:r>
        <w:t>2026 年 10 月 26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骨头 3（N3）——离线项一致版本。挂清单定义：BGS 定理 1 的离线余项 O(1/√logT) 在核宽 a→0 （λ→∞，推 1 场景）时须跨 λ 一致——余项常数不随核窄化发散。本档给出核心判定：该一致版本在 BGS 证明结构内已经成立——余项来源与核无关。定理 1 证明的余项仅两处：(a) 引理 4 的截断误差 O(x</w:t>
      </w:r>
      <w:r>
        <w:rPr>
          <w:vertAlign w:val="superscript"/>
        </w:rPr>
        <w:t>1−2η(T log²T)</w:t>
      </w:r>
      <w:r>
        <w:t>log³T)+O(x)，截断 Z=T log²T 只依赖 T；(b) 素数项积分 R(x,T)=∫|r(x,t)|²dt 的修正 O(T√logT)（GM87 引理 6/7），Montgomery 引理右端 r(x,t) 不含任何核。核只出现在零点侧 L(x,T)=∫|l(x,t)|²dt，经 L=R 恒等式与素数项恒等。故引理 5 余项 O(T√logT) 对 supp⊂[−1,1] 的一切核一致；N1（缩放自同构）已证缩放核 r</w:t>
      </w:r>
      <w:r>
        <w:rPr>
          <w:vertAlign w:val="subscript"/>
        </w:rPr>
        <w:t>a</w:t>
      </w:r>
      <w:r>
        <w:t>(α)=a⁻¹r(α/a) 保持该条件，跨 λ 一致随之成立。定理 N3：(i) 配对公式余项跨 λ 一致（O(T√logT)，常数不依赖 a）；(ii) 素数项 S_final 跨 λ 一致（SW 压制常数只依赖模 5 与 T）——数值件 E：|S_final|/N</w:t>
      </w:r>
      <w:r>
        <w:rPr>
          <w:vertAlign w:val="subscript"/>
        </w:rPr>
        <w:t>L</w:t>
      </w:r>
      <w:r>
        <w:t>=4.0×10</w:t>
      </w:r>
      <w:r>
        <w:rPr>
          <w:vertAlign w:val="superscript"/>
        </w:rPr>
        <w:t>−8</w:t>
      </w:r>
      <w:r>
        <w:t>@T=8×10</w:t>
      </w:r>
      <w:r>
        <w:rPr>
          <w:vertAlign w:val="superscript"/>
        </w:rPr>
        <w:t>5</w:t>
      </w:r>
      <w:r>
        <w:t>，件 F 形态实验 B：δS 与 ½K″(0)(aδ)²T</w:t>
      </w:r>
      <w:r>
        <w:rPr>
          <w:vertAlign w:val="subscript"/>
        </w:rPr>
        <w:t>2</w:t>
      </w:r>
      <w:r>
        <w:t xml:space="preserve"> 比值 1.000（核窄化下离线项二阶主导、无发散）；(iii) 离线总余项 R</w:t>
      </w:r>
      <w:r>
        <w:rPr>
          <w:vertAlign w:val="subscript"/>
        </w:rPr>
        <w:t>off</w:t>
      </w:r>
      <w:r>
        <w:t>=O(1/√logT)·N</w:t>
      </w:r>
      <w:r>
        <w:rPr>
          <w:vertAlign w:val="subscript"/>
        </w:rPr>
        <w:t>L</w:t>
      </w:r>
      <w:r>
        <w:t xml:space="preserve"> 跨 λ 一致。与 N1/N2 联合：A(K</w:t>
      </w:r>
      <w:r>
        <w:rPr>
          <w:vertAlign w:val="subscript"/>
        </w:rPr>
        <w:t>λ</w:t>
      </w:r>
      <w:r>
        <w:t>)−1=0.16a³+O((logT)</w:t>
      </w:r>
      <w:r>
        <w:rPr>
          <w:vertAlign w:val="superscript"/>
        </w:rPr>
        <w:t>−1/2</w:t>
      </w:r>
      <w:r>
        <w:t>)(1+O(a²))→0——推 1 三块骨头齐。</w:t>
      </w:r>
    </w:p>
    <w:p>
      <w:pPr>
        <w:spacing w:after="200"/>
      </w:pPr>
      <w:r>
        <w:t>关键词：离线项；一致余项；素数项；Siegel–Walfisz；配对公式；跨 λ 一致</w:t>
      </w:r>
    </w:p>
    <w:p>
      <w:pPr>
        <w:pStyle w:val="Heading1"/>
      </w:pPr>
      <w:r>
        <w:t>1　N3 的定义与背景</w:t>
      </w:r>
    </w:p>
    <w:p>
      <w:r>
        <w:t>S7.1 §7.1 挂入 Stage 3+ 三块硬骨头：N1 引理 5 超支撑推广（S7.3 击破——缩放自同构）、N2 ε–λ 联动（S7.4 击破——正则化撑宽与有效核宽标度律）、N3 离线项一致版本。本档执行 N3。</w:t>
      </w:r>
    </w:p>
    <w:p>
      <w:r>
        <w:t>背景：BGS 定理 1 给出配对和的无条件展开 F(α)=T</w:t>
      </w:r>
      <w:r>
        <w:rPr>
          <w:vertAlign w:val="superscript"/>
        </w:rPr>
        <w:t>−2α</w:t>
      </w:r>
      <w:r>
        <w:t>(logT+O(1))+α+O(1/√logT)，对 0≤α≤1 一致。推 1 场景的核窄化（a→0）要求该 O(1/√logT) 余项的隐式常数不随核宽发散——否则超支撑推广（N1）在余项层失效。N3 的任务：拆出 BGS 余项的全部来源，逐一验证与核无关，给出跨 λ 一致界。</w:t>
      </w:r>
    </w:p>
    <w:p>
      <w:pPr>
        <w:pStyle w:val="Heading1"/>
      </w:pPr>
      <w:r>
        <w:t>2　BGS 余项的结构拆解：两处来源均不含核</w:t>
      </w:r>
    </w:p>
    <w:p>
      <w:pPr>
        <w:pStyle w:val="Heading2"/>
      </w:pPr>
      <w:r>
        <w:t>2.1　引理 4：截断误差</w:t>
      </w:r>
    </w:p>
    <w:p>
      <w:r>
        <w:t>L(x,T)=∫₀ᵀ|l(x,t)|²dt 的零点侧组装先按 |γ|≤Z 截断。引理 4 的估计：</w:t>
      </w:r>
    </w:p>
    <w:p>
      <w:pPr>
        <w:spacing w:after="80"/>
        <w:jc w:val="center"/>
      </w:pPr>
      <w:r>
        <w:t>L(x,T) = 4Σ</w:t>
      </w:r>
      <w:r>
        <w:rPr>
          <w:vertAlign w:val="subscript"/>
        </w:rPr>
        <w:t>|γ|,|γ′|≤Z</w:t>
      </w:r>
      <w:r>
        <w:t xml:space="preserve"> x</w:t>
      </w:r>
      <w:r>
        <w:rPr>
          <w:vertAlign w:val="superscript"/>
        </w:rPr>
        <w:t>δ+δ′+i(γ−γ′)</w:t>
      </w:r>
      <w:r>
        <w:t>∫₀ᵀ dt/[(1+((t−γ)+iδ)²)(1+((t−γ′)−iδ′)²)] + O(x)</w:t>
      </w:r>
    </w:p>
    <w:p>
      <w:r>
        <w:t>取 Z=T log²T。截断误差 (2.14)/(2.15) 用平凡估计 Σ|γ|≥Z γ</w:t>
      </w:r>
      <w:r>
        <w:rPr>
          <w:vertAlign w:val="superscript"/>
        </w:rPr>
        <w:t>−2</w:t>
      </w:r>
      <w:r>
        <w:t>≪logZ/Z 与零点计数 N(T)——**只依赖 T，不含核**。离临界线因子 x</w:t>
      </w:r>
      <w:r>
        <w:rPr>
          <w:vertAlign w:val="superscript"/>
        </w:rPr>
        <w:t>δ+δ′</w:t>
      </w:r>
      <w:r>
        <w:t>≪x</w:t>
      </w:r>
      <w:r>
        <w:rPr>
          <w:vertAlign w:val="superscript"/>
        </w:rPr>
        <w:t>2Θ(Z)−1</w:t>
      </w:r>
      <w:r>
        <w:t>≤x</w:t>
      </w:r>
      <w:r>
        <w:rPr>
          <w:vertAlign w:val="superscript"/>
        </w:rPr>
        <w:t>1−2η(T log²T)</w:t>
      </w:r>
      <w:r>
        <w:t>（Θ 为零点实部上确界）只在误差主项 O(x</w:t>
      </w:r>
      <w:r>
        <w:rPr>
          <w:vertAlign w:val="superscript"/>
        </w:rPr>
        <w:t>1−2η</w:t>
      </w:r>
      <w:r>
        <w:t>log³T) 出现，与核无关。</w:t>
      </w:r>
    </w:p>
    <w:p>
      <w:pPr>
        <w:pStyle w:val="Heading2"/>
      </w:pPr>
      <w:r>
        <w:t>2.2　引理 1（Montgomery）：素数项</w:t>
      </w:r>
    </w:p>
    <w:p>
      <w:r>
        <w:t>l(x,t)=r(x,t)，右端为 Landau 显式公式（σ=3/2 取法）：</w:t>
      </w:r>
    </w:p>
    <w:p>
      <w:pPr>
        <w:spacing w:after="80"/>
        <w:jc w:val="center"/>
      </w:pPr>
      <w:r>
        <w:t>r(x,t) = −Σ</w:t>
      </w:r>
      <w:r>
        <w:rPr>
          <w:vertAlign w:val="subscript"/>
        </w:rPr>
        <w:t>n≤x</w:t>
      </w:r>
      <w:r>
        <w:t>Λ(n)/n</w:t>
      </w:r>
      <w:r>
        <w:rPr>
          <w:vertAlign w:val="superscript"/>
        </w:rPr>
        <w:t>1/2+it</w:t>
      </w:r>
      <w:r>
        <w:t>·min(n/x, x/n) + x</w:t>
      </w:r>
      <w:r>
        <w:rPr>
          <w:vertAlign w:val="superscript"/>
        </w:rPr>
        <w:t>−1</w:t>
      </w:r>
      <w:r>
        <w:t>(log(|t|+2)+O(1)) + O(x</w:t>
      </w:r>
      <w:r>
        <w:rPr>
          <w:vertAlign w:val="superscript"/>
        </w:rPr>
        <w:t>1/2</w:t>
      </w:r>
      <w:r>
        <w:t>/(1+t²)) + O(x</w:t>
      </w:r>
      <w:r>
        <w:rPr>
          <w:vertAlign w:val="superscript"/>
        </w:rPr>
        <w:t>−5/2</w:t>
      </w:r>
      <w:r>
        <w:t>/(|t|+2))</w:t>
      </w:r>
    </w:p>
    <w:p>
      <w:r>
        <w:t>素数项 r(x,t) 由 ζ 的显式公式导出，**不含任何核函数**。核只通过 l(x,t)（零点侧求和）进入。</w:t>
      </w:r>
    </w:p>
    <w:p>
      <w:pPr>
        <w:pStyle w:val="Heading2"/>
      </w:pPr>
      <w:r>
        <w:t>2.3　R(x,T)：素数项积分与 O(1/√logT) 的来源</w:t>
      </w:r>
    </w:p>
    <w:p>
      <w:r>
        <w:t>R(x,T)=∫₀ᵀ|r(x,t)|²dt。GM87 引理 6/7 的无条件改进（(2.19)）：</w:t>
      </w:r>
    </w:p>
    <w:p>
      <w:pPr>
        <w:spacing w:after="80"/>
        <w:jc w:val="center"/>
      </w:pPr>
      <w:r>
        <w:t>R(x,T) = x</w:t>
      </w:r>
      <w:r>
        <w:rPr>
          <w:vertAlign w:val="superscript"/>
        </w:rPr>
        <w:t>−2</w:t>
      </w:r>
      <w:r>
        <w:t>T logT·(logT+O(1)) + T(log x+O(√logT))，0≤x≤T</w:t>
      </w:r>
    </w:p>
    <w:p>
      <w:r>
        <w:t>F(α) 展开的 α+O(1/√logT) 即由此项经 (1.3) 归一化得到。**r 不含核 ⟹ R 不含核 ⟹ 余项 O(T√logT) 对一切核一致**。核只在 L 侧出现，L=R 恒等式（(2.17)）使两边等同——定理 1 的余项组装无核依赖。</w:t>
      </w:r>
    </w:p>
    <w:p>
      <w:pPr>
        <w:pStyle w:val="Heading2"/>
      </w:pPr>
      <w:r>
        <w:t>2.4　引理 5：通用核配对公式</w:t>
      </w:r>
    </w:p>
    <w:p>
      <w:r>
        <w:t>引理 5（(3.4)）：对 supp r⊂[−1,1]、r Lipschitz@0：</w:t>
      </w:r>
    </w:p>
    <w:p>
      <w:pPr>
        <w:spacing w:after="80"/>
        <w:jc w:val="center"/>
      </w:pPr>
      <w:r>
        <w:t>Σ</w:t>
      </w:r>
      <w:r>
        <w:rPr>
          <w:vertAlign w:val="subscript"/>
        </w:rPr>
        <w:t>0&lt;γ,γ′≤T</w:t>
      </w:r>
      <w:r>
        <w:t xml:space="preserve"> r̂(i(ρ−ρ′)logT/2π)w(ρ−ρ′) = (T/2π)logT·[r̂(0)+2∫₀¹αr(α)dα] + O(T√logT)</w:t>
      </w:r>
    </w:p>
    <w:p>
      <w:r>
        <w:t>**余项 O(T√logT) 与核 r 无关**（对 supp⊂[−1,1] 一致）——由 §2.1–§2.3：截断与素数项均不含核。N1（S7.3 定理 N1）已证缩放核 r</w:t>
      </w:r>
      <w:r>
        <w:rPr>
          <w:vertAlign w:val="subscript"/>
        </w:rPr>
        <w:t>a</w:t>
      </w:r>
      <w:r>
        <w:t>(α)=a⁻¹r(α/a) 逐条保持引理 5 条件（supp、Lipschitz、L¹），且配对公式形式不变、误差无 a 依赖——**跨 λ 一致性在配对公式层成立**。</w:t>
      </w:r>
    </w:p>
    <w:p>
      <w:pPr>
        <w:pStyle w:val="Heading1"/>
      </w:pPr>
      <w:r>
        <w:t>3　定理 N3（离线项一致版本）</w:t>
      </w:r>
    </w:p>
    <w:p>
      <w:pPr>
        <w:pStyle w:val="Heading2"/>
      </w:pPr>
      <w:r>
        <w:t>3.1　定理陈述</w:t>
      </w:r>
    </w:p>
    <w:p>
      <w:r>
        <w:t>定理 N3（离线项一致版本）。设 S7.1 的 L 版 BGS 型配对假设成立（实特征 χ₅、模 5、SW 压制）。对核族 r</w:t>
      </w:r>
      <w:r>
        <w:rPr>
          <w:vertAlign w:val="subscript"/>
        </w:rPr>
        <w:t>a</w:t>
      </w:r>
      <w:r>
        <w:t>(α)=a⁻¹r(α/a)（a→0）：</w:t>
      </w:r>
    </w:p>
    <w:p>
      <w:pPr>
        <w:spacing w:after="0"/>
        <w:jc w:val="center"/>
      </w:pPr>
      <w:r>
        <w:t>（i）配对公式余项跨 λ 一致：配对和=(T/2π)logT·[r̂</w:t>
      </w:r>
      <w:r>
        <w:rPr>
          <w:vertAlign w:val="subscript"/>
        </w:rPr>
        <w:t>a</w:t>
      </w:r>
      <w:r>
        <w:t>(0)+2∫₀¹αr</w:t>
      </w:r>
      <w:r>
        <w:rPr>
          <w:vertAlign w:val="subscript"/>
        </w:rPr>
        <w:t>a</w:t>
      </w:r>
      <w:r>
        <w:t>(α)dα]+O(T√logT)，隐式常数不依赖 a；</w:t>
      </w:r>
    </w:p>
    <w:p>
      <w:pPr>
        <w:spacing w:after="0"/>
        <w:jc w:val="center"/>
      </w:pPr>
      <w:r>
        <w:t>（ii）素数项跨 λ 一致：S_final(a)=O(T√logT)，常数只依赖模 5 与 T，不依赖 a；</w:t>
      </w:r>
    </w:p>
    <w:p>
      <w:pPr>
        <w:spacing w:after="80"/>
        <w:jc w:val="center"/>
      </w:pPr>
      <w:r>
        <w:t>（iii）离线总余项：R</w:t>
      </w:r>
      <w:r>
        <w:rPr>
          <w:vertAlign w:val="subscript"/>
        </w:rPr>
        <w:t>off</w:t>
      </w:r>
      <w:r>
        <w:t>=O(1/√logT)·N</w:t>
      </w:r>
      <w:r>
        <w:rPr>
          <w:vertAlign w:val="subscript"/>
        </w:rPr>
        <w:t>L</w:t>
      </w:r>
      <w:r>
        <w:t>，跨 λ 一致。</w:t>
      </w:r>
    </w:p>
    <w:p>
      <w:r>
        <w:t>推论：与 N1（配对公式层）、N2（ε–λ 联动）联合，配对常数</w:t>
      </w:r>
    </w:p>
    <w:p>
      <w:pPr>
        <w:spacing w:after="80"/>
        <w:jc w:val="center"/>
      </w:pPr>
      <w:r>
        <w:t>A(K</w:t>
      </w:r>
      <w:r>
        <w:rPr>
          <w:vertAlign w:val="subscript"/>
        </w:rPr>
        <w:t>λ,ε</w:t>
      </w:r>
      <w:r>
        <w:t>)−1 = 0.16a³(1+o(1)) + O((logT)</w:t>
      </w:r>
      <w:r>
        <w:rPr>
          <w:vertAlign w:val="superscript"/>
        </w:rPr>
        <w:t>−1/2</w:t>
      </w:r>
      <w:r>
        <w:t>)(1+O(a²)) → 0</w:t>
      </w:r>
    </w:p>
    <w:p>
      <w:r>
        <w:t>推 1 的三块骨头全部闭合。</w:t>
      </w:r>
    </w:p>
    <w:p>
      <w:pPr>
        <w:pStyle w:val="Heading2"/>
      </w:pPr>
      <w:r>
        <w:t>3.2　证明骨架（四步）</w:t>
      </w:r>
    </w:p>
    <w:p>
      <w:r>
        <w:t>第一步（配对公式余项跨核一致）：由 §2.1–§2.3——定理 1 余项仅两处来源（引理 4 截断、R(x,T) 素数项积分），均不含核，故引理 5 的 O(T√logT) 对 supp⊂[−1,1] 一致。N1 已证缩放核保持条件，一致界对 a 均匀。</w:t>
      </w:r>
    </w:p>
    <w:p>
      <w:r>
        <w:t>第二步（素数项层）：S7.1 的 L 版假设下素数项 r</w:t>
      </w:r>
      <w:r>
        <w:rPr>
          <w:vertAlign w:val="subscript"/>
        </w:rPr>
        <w:t>L</w:t>
      </w:r>
      <w:r>
        <w:t xml:space="preserve"> 用 χ₅ 的 SW（模 5）压制；∫|r</w:t>
      </w:r>
      <w:r>
        <w:rPr>
          <w:vertAlign w:val="subscript"/>
        </w:rPr>
        <w:t>L</w:t>
      </w:r>
      <w:r>
        <w:t>|²dt 的 主项+O(T√logT) 常数只依赖模 5。核窄化只影响零点侧组装，经 L=R 恒等式吸收。</w:t>
      </w:r>
    </w:p>
    <w:p>
      <w:r>
        <w:t>第三步（偏差合成）：A−1=[非对角配对和]/N</w:t>
      </w:r>
      <w:r>
        <w:rPr>
          <w:vertAlign w:val="subscript"/>
        </w:rPr>
        <w:t>L</w:t>
      </w:r>
      <w:r>
        <w:t>+R</w:t>
      </w:r>
      <w:r>
        <w:rPr>
          <w:vertAlign w:val="subscript"/>
        </w:rPr>
        <w:t>off</w:t>
      </w:r>
      <w:r>
        <w:t>/N</w:t>
      </w:r>
      <w:r>
        <w:rPr>
          <w:vertAlign w:val="subscript"/>
        </w:rPr>
        <w:t>L</w:t>
      </w:r>
      <w:r>
        <w:t>=0.16a³(1+o(1))+O((logT)</w:t>
      </w:r>
      <w:r>
        <w:rPr>
          <w:vertAlign w:val="superscript"/>
        </w:rPr>
        <w:t>−1/2</w:t>
      </w:r>
      <w:r>
        <w:t>)(1+O(a²))（首项：N1/S4 的 GUE2 标度律；次项：本定理 (iii)）。</w:t>
      </w:r>
    </w:p>
    <w:p>
      <w:r>
        <w:t>第四步（取法代入）：λ=(logT)</w:t>
      </w:r>
      <w:r>
        <w:rPr>
          <w:vertAlign w:val="superscript"/>
        </w:rPr>
        <w:t>q</w:t>
      </w:r>
      <w:r>
        <w:t xml:space="preserve"> ⟹ R</w:t>
      </w:r>
      <w:r>
        <w:rPr>
          <w:vertAlign w:val="subscript"/>
        </w:rPr>
        <w:t>off</w:t>
      </w:r>
      <w:r>
        <w:t>/N</w:t>
      </w:r>
      <w:r>
        <w:rPr>
          <w:vertAlign w:val="subscript"/>
        </w:rPr>
        <w:t>L</w:t>
      </w:r>
      <w:r>
        <w:t>=O((logT)</w:t>
      </w:r>
      <w:r>
        <w:rPr>
          <w:vertAlign w:val="superscript"/>
        </w:rPr>
        <w:t>−1/2</w:t>
      </w:r>
      <w:r>
        <w:t>) 不随 q 恶化；ε=c·a（N2）⟹ 总偏差→0。□</w:t>
      </w:r>
    </w:p>
    <w:p>
      <w:pPr>
        <w:pStyle w:val="Heading1"/>
      </w:pPr>
      <w:r>
        <w:t>4　数值支撑：离线项跨尺度、跨核宽一致</w:t>
      </w:r>
    </w:p>
    <w:p>
      <w:r>
        <w:t>已有数值件两处交叉验证离线项一致版本。</w:t>
      </w:r>
    </w:p>
    <w:p>
      <w:pPr>
        <w:pStyle w:val="Caption"/>
      </w:pPr>
      <w:r>
        <w:t>表 1　离线项一致版本的数值证据（件 E 与件 F）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158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数据件</w:t>
            </w:r>
          </w:p>
        </w:tc>
        <w:tc>
          <w:tcPr>
            <w:tcW w:type="dxa" w:w="204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量</w:t>
            </w:r>
          </w:p>
        </w:tc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参数档</w:t>
            </w:r>
          </w:p>
        </w:tc>
        <w:tc>
          <w:tcPr>
            <w:tcW w:type="dxa" w:w="136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数值</w:t>
            </w:r>
          </w:p>
        </w:tc>
        <w:tc>
          <w:tcPr>
            <w:tcW w:type="dxa" w:w="181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件 E（S7）</w:t>
            </w:r>
          </w:p>
        </w:tc>
        <w:tc>
          <w:tcPr>
            <w:tcW w:type="dxa" w:w="204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|S_final|/N_L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T=8×10⁵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4.0×10⁻⁸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素数项相对主项比值（跨高度一致）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件 F 主 A</w:t>
            </w:r>
          </w:p>
        </w:tc>
        <w:tc>
          <w:tcPr>
            <w:tcW w:type="dxa" w:w="204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|S_a|/N_L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X=10⁴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2.04×10⁻⁴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素数项随截断增长单调衰减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件 F 主 A</w:t>
            </w:r>
          </w:p>
        </w:tc>
        <w:tc>
          <w:tcPr>
            <w:tcW w:type="dxa" w:w="204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|S_a|/N_L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X=10⁸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1.0×10⁻⁸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衰减快于 X^{-1/2}（SW 型压制）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件 F 形态 B</w:t>
            </w:r>
          </w:p>
        </w:tc>
        <w:tc>
          <w:tcPr>
            <w:tcW w:type="dxa" w:w="204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δS/(½K″(0)(aδ)²T₂)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aδ≤3×10⁻³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核窄化下离线项二阶主导、无发散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件 F 形态 B</w:t>
            </w:r>
          </w:p>
        </w:tc>
        <w:tc>
          <w:tcPr>
            <w:tcW w:type="dxa" w:w="204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|S_a|</w:t>
            </w:r>
          </w:p>
        </w:tc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X=10⁸ 扫 a</w:t>
            </w:r>
          </w:p>
        </w:tc>
        <w:tc>
          <w:tcPr>
            <w:tcW w:type="dxa" w:w="136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≈2.05</w:t>
            </w:r>
          </w:p>
        </w:tc>
        <w:tc>
          <w:tcPr>
            <w:tcW w:type="dxa" w:w="181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素数项窄带有界（跨 λ 一致）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注：件 E=数值件 E（T=8×10⁵ 素数项实测）；件 F=数值件 F（S7.2，筛素数至 10⁸）。</w:t>
      </w:r>
    </w:p>
    <w:p>
      <w:r>
        <w:t>读数有三。其一，件 E：|S_final|/N</w:t>
      </w:r>
      <w:r>
        <w:rPr>
          <w:vertAlign w:val="subscript"/>
        </w:rPr>
        <w:t>L</w:t>
      </w:r>
      <w:r>
        <w:t>=4.0×10</w:t>
      </w:r>
      <w:r>
        <w:rPr>
          <w:vertAlign w:val="superscript"/>
        </w:rPr>
        <w:t>−8</w:t>
      </w:r>
      <w:r>
        <w:t>——素数项比主项小 7–8 个量级，离线项在 T=8×10</w:t>
      </w:r>
      <w:r>
        <w:rPr>
          <w:vertAlign w:val="superscript"/>
        </w:rPr>
        <w:t>5</w:t>
      </w:r>
      <w:r>
        <w:t xml:space="preserve"> 高度已可忽略；其二，件 F 主实验 A：|S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 xml:space="preserve"> 随截断 X 单调衰减 2.04×10</w:t>
      </w:r>
      <w:r>
        <w:rPr>
          <w:vertAlign w:val="superscript"/>
        </w:rPr>
        <w:t>−4</w:t>
      </w:r>
      <w:r>
        <w:t>→1.0×10</w:t>
      </w:r>
      <w:r>
        <w:rPr>
          <w:vertAlign w:val="superscript"/>
        </w:rPr>
        <w:t>−8</w:t>
      </w:r>
      <w:r>
        <w:t>，快于 X</w:t>
      </w:r>
      <w:r>
        <w:rPr>
          <w:vertAlign w:val="superscript"/>
        </w:rPr>
        <w:t>−1/2</w:t>
      </w:r>
      <w:r>
        <w:t>——SW 型压制在超支撑场景下同样生效（无核宽诱发发散）；其三，件 F 形态实验 B：δS 与 ½K″(0)(aδ)²T</w:t>
      </w:r>
      <w:r>
        <w:rPr>
          <w:vertAlign w:val="subscript"/>
        </w:rPr>
        <w:t>2</w:t>
      </w:r>
      <w:r>
        <w:t xml:space="preserve"> 比值恒为 1.000（aδ≤3×10</w:t>
      </w:r>
      <w:r>
        <w:rPr>
          <w:vertAlign w:val="superscript"/>
        </w:rPr>
        <w:t>−3</w:t>
      </w:r>
      <w:r>
        <w:t>）——核窄化下离线项二阶主导、一阶恒零，离线项的核宽依赖为收缩型 (aδ)² 而非发散。</w:t>
      </w:r>
    </w:p>
    <w:p>
      <w:pPr>
        <w:pStyle w:val="Heading1"/>
      </w:pPr>
      <w:r>
        <w:t>5　实测图形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138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7f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数值件 F 双子图（S7.2 复用）：左=素数项 |S_a|/N_L 随截断 X 单调衰减；右=形态实验 B：偶核一阶恒零、二阶主导 δS≈½K″(0)(aδ)²T₂——离线项跨尺度、跨核宽一致</w:t>
      </w:r>
    </w:p>
    <w:p>
      <w:r>
        <w:t>图 1 左：|S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 xml:space="preserve"> 随 X（10</w:t>
      </w:r>
      <w:r>
        <w:rPr>
          <w:vertAlign w:val="superscript"/>
        </w:rPr>
        <w:t>4</w:t>
      </w:r>
      <w:r>
        <w:t>→10</w:t>
      </w:r>
      <w:r>
        <w:rPr>
          <w:vertAlign w:val="superscript"/>
        </w:rPr>
        <w:t>8</w:t>
      </w:r>
      <w:r>
        <w:t>）单调衰减两个量级以上——素数项在超支撑下的 SW 压制跨尺度成立；图 1 右：δS 与 ½K″(0)(aδ)²T</w:t>
      </w:r>
      <w:r>
        <w:rPr>
          <w:vertAlign w:val="subscript"/>
        </w:rPr>
        <w:t>2</w:t>
      </w:r>
      <w:r>
        <w:t xml:space="preserve"> 的对数比沿参考线（比值 1.000）——核窄化不引发离线项发散，标度 (aδ)² 收缩。</w:t>
      </w:r>
    </w:p>
    <w:p>
      <w:pPr>
        <w:pStyle w:val="Heading1"/>
      </w:pPr>
      <w:r>
        <w:t>6　结论与判定</w:t>
      </w:r>
    </w:p>
    <w:p>
      <w:r>
        <w:t>骨头 3（N3）击破完成。</w:t>
      </w:r>
    </w:p>
    <w:p>
      <w:r>
        <w:t>（1）理论：BGS 余项结构拆解——两处来源（引理 4 截断误差、R(x,T) 素数项积分）均不含核；引理 5 余项 O(T√logT) 对 supp⊂[−1,1] 的一切核一致；N1 缩放保持 ⟹ 配对公式层跨 λ 一致。定理 N3：(i) 配对公式余项一致；(ii) 素数项 SW 压制常数只依赖模 5 与 T（不依赖 a）；(iii) 离线总余项 R</w:t>
      </w:r>
      <w:r>
        <w:rPr>
          <w:vertAlign w:val="subscript"/>
        </w:rPr>
        <w:t>off</w:t>
      </w:r>
      <w:r>
        <w:t>=O(1/√logT)·N</w:t>
      </w:r>
      <w:r>
        <w:rPr>
          <w:vertAlign w:val="subscript"/>
        </w:rPr>
        <w:t>L</w:t>
      </w:r>
      <w:r>
        <w:t xml:space="preserve"> 跨 λ 一致。</w:t>
      </w:r>
    </w:p>
    <w:p>
      <w:r>
        <w:t>（2）数值：件 E（|S_final|/N</w:t>
      </w:r>
      <w:r>
        <w:rPr>
          <w:vertAlign w:val="subscript"/>
        </w:rPr>
        <w:t>L</w:t>
      </w:r>
      <w:r>
        <w:t>=4.0×10</w:t>
      </w:r>
      <w:r>
        <w:rPr>
          <w:vertAlign w:val="superscript"/>
        </w:rPr>
        <w:t>−8</w:t>
      </w:r>
      <w:r>
        <w:t>）、件 F 主实验 A（|S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 xml:space="preserve"> 单调衰减至 1.0×10</w:t>
      </w:r>
      <w:r>
        <w:rPr>
          <w:vertAlign w:val="superscript"/>
        </w:rPr>
        <w:t>−8</w:t>
      </w:r>
      <w:r>
        <w:t>）、形态实验 B（δS/二阶参考=1.000）——离线项跨尺度、跨核宽一致，无发散迹象。</w:t>
      </w:r>
    </w:p>
    <w:p>
      <w:r>
        <w:t>（3）对推 1：三块骨头齐——N1（配对公式层缩放自同构，S7.3）、N2（ε–λ 联动，S7.4）、N3 （离线项一致，本档）。A(K</w:t>
      </w:r>
      <w:r>
        <w:rPr>
          <w:vertAlign w:val="subscript"/>
        </w:rPr>
        <w:t>λ,ε</w:t>
      </w:r>
      <w:r>
        <w:t>)−1=0.16a³+O((logT)</w:t>
      </w:r>
      <w:r>
        <w:rPr>
          <w:vertAlign w:val="superscript"/>
        </w:rPr>
        <w:t>−1/2</w:t>
      </w:r>
      <w:r>
        <w:t>)→0 全程闭合，无速度竞争。</w:t>
      </w:r>
    </w:p>
    <w:p>
      <w:r>
        <w:t>（4）诚实边界：L 版 BGS 型配对公式仍是显式假设（S7.1）；跨 λ 一致性在 BGS 的无条件结构内成立，但 L 版（χ₅ 模 5）下的 SW 常数尚未显式化——留待 S7.1 Stage 3+ 三引理（Abel 求和、K̂</w:t>
      </w:r>
      <w:r>
        <w:rPr>
          <w:vertAlign w:val="subscript"/>
        </w:rPr>
        <w:t>a</w:t>
      </w:r>
      <w:r>
        <w:t xml:space="preserve"> 一致界、N</w:t>
      </w:r>
      <w:r>
        <w:rPr>
          <w:vertAlign w:val="subscript"/>
        </w:rPr>
        <w:t>L</w:t>
      </w:r>
      <w:r>
        <w:t xml:space="preserve"> 对数下界）形式化时给出。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Baluyot D, Goldston D A, Suriajaya A I, Turnage-Butterbaugh C L. An unconditional Montgomery theorem for pair correlation of zeros of the Riemann zeta function. arXiv:2306.04799（定理 1 证明 (2.18)/(2.19)、引理 4 截断 Z=T log²T、引理 5 (3.4)）.</w:t>
      </w:r>
    </w:p>
    <w:p>
      <w:pPr>
        <w:spacing w:after="40"/>
      </w:pPr>
      <w:r>
        <w:rPr>
          <w:rFonts w:ascii="Times New Roman" w:hAnsi="Times New Roman"/>
          <w:sz w:val="18"/>
        </w:rPr>
        <w:t>[2] 攻防 XLII-S7.1（d1 已交付）：形式化证明 Lean 落地——L 版 BGS 型配对公式假设、§7.1 Stage 3+ 三件套挂清单、数值件 E（|S_final|/N_L=4.0e-8@T=8e5）.</w:t>
      </w:r>
    </w:p>
    <w:p>
      <w:pPr>
        <w:spacing w:after="40"/>
      </w:pPr>
      <w:r>
        <w:rPr>
          <w:rFonts w:ascii="Times New Roman" w:hAnsi="Times New Roman"/>
          <w:sz w:val="18"/>
        </w:rPr>
        <w:t>[3] 攻防 XLII-S7.2（d1 已交付）：数值件 F——素数项 |S_a|/N_L 单调衰减、形态实验 B（δS 与 ½K″(0)(aδ)²T₂ 比值 1.000、敏感量 (aδ)² 修正）.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XLII-S7.3（d1 已交付）：骨头 1——BGS 引理 5 超支撑推广（缩放自同构 r̂_a(z)=r̂(az)、配对公式层成立）.</w:t>
      </w:r>
    </w:p>
    <w:p>
      <w:pPr>
        <w:spacing w:after="40"/>
      </w:pPr>
      <w:r>
        <w:rPr>
          <w:rFonts w:ascii="Times New Roman" w:hAnsi="Times New Roman"/>
          <w:sz w:val="18"/>
        </w:rPr>
        <w:t>[5] 攻防 XLII-S7.4（d1 已交付）：骨头 2——ε–λ 联动（支撑容忍 ε=O(a)、有效核宽标度律 0.16(a+2ε)³）.</w:t>
      </w:r>
    </w:p>
    <w:p>
      <w:pPr>
        <w:spacing w:after="40"/>
      </w:pPr>
      <w:r>
        <w:rPr>
          <w:rFonts w:ascii="Times New Roman" w:hAnsi="Times New Roman"/>
          <w:sz w:val="18"/>
        </w:rPr>
        <w:t>[6] 攻防 XLII-S4（d1 已交付）：正向构造数值定锚——GUE2(a)−1≈0.16a³ 恒正律.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