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Route-2 Defense XLII — Full-scale GUE Pair Correlation and the Online Simple-Zero Proportion 1−o(1): S0 Numerical Orientation</w:t>
      </w:r>
    </w:p>
    <w:p>
      <w:pPr>
        <w:spacing w:after="80"/>
        <w:jc w:val="center"/>
      </w:pPr>
      <w:r>
        <w:rPr>
          <w:rFonts w:ascii="Times New Roman" w:hAnsi="Times New Roman" w:eastAsia="黑体"/>
          <w:b/>
          <w:sz w:val="28"/>
        </w:rPr>
        <w:t>(Calibration Fixes, Super-GUE Repulsion, and Theoretical Correspondence)</w:t>
      </w:r>
    </w:p>
    <w:p>
      <w:pPr>
        <w:spacing w:after="80"/>
        <w:jc w:val="center"/>
      </w:pPr>
      <w:r>
        <w:rPr>
          <w:rFonts w:ascii="Times New Roman" w:hAnsi="Times New Roman" w:eastAsia="楷体"/>
          <w:sz w:val="24"/>
        </w:rPr>
        <w:t>—《Spectral Duality Arguments》series (d1): the S0 gate verdict</w:t>
      </w:r>
    </w:p>
    <w:p>
      <w:pPr>
        <w:spacing w:after="200"/>
        <w:jc w:val="center"/>
      </w:pPr>
      <w:r>
        <w:t>October 24, 2026</w:t>
      </w:r>
    </w:p>
    <w:p>
      <w:pPr>
        <w:spacing w:after="0"/>
      </w:pPr>
      <w:r>
        <w:rPr>
          <w:rFonts w:ascii="Times New Roman" w:hAnsi="Times New Roman" w:eastAsia="黑体"/>
          <w:b/>
          <w:sz w:val="21"/>
        </w:rPr>
        <w:t>Abstract:</w:t>
      </w:r>
    </w:p>
    <w:p>
      <w:pPr>
        <w:spacing w:after="120"/>
      </w:pPr>
      <w:r>
        <w:t>Defense XLII continues the XLI main line, “drive to 1”: upgrade the hypothesis (H2) to full-scale GUE pair correlation as λ(T)→∞ (a strong Montgomery-type statement for the fixed-modulus real character L(s,χ₅)), so that Lamzouri’s Proposition 2.1 directly yields A→1 and the union online simple-zero proportion →1−o(1). This note completes the S0 numerical orientation (gate verdict). Method: T=6×10⁵ zero data (999354 ζ-zeros, 1149836 L(χ₅)-zeros); kernel family K_a(u)=sinc²(πu/a) with spectral support λ_eff=π/a; pair constant A=1+ΣK²/N (ordered pairs); local normalization u=|Δ|·ρ(t_mid); two-sided GUE/Poisson comparison. Results: the full A(λ) curve (λ_eff∈[0.39,31.4]) tracks the two-sided GUE prediction closely and approaches 1 monotonically at the narrow end with no rebound (as a=0.5→0.1, A−1 falls from 1.49e-2 to 1.3e-4); no sign of a repulsion-violating gap (s_min=0.0123/0.0133; count of s&lt;0.01 is 0); the observed values lie systematically below GUE (super-GUE repulsion), a GUE simulation excludes finite-N artifacts, and the segment drift shows the negative deviation converging with T. Three calibration fixes: the λ_eff conversion is pinned down (the XLI document’s earlier assignment was inverted), the −1 term in the L-density is removed (nearest-neighbor mean 0.9197→1.0027), and the global δ vs local ρ differ by 0.7% (the XLI numerical conclusions are unchanged). Verdict: S0 passes, proceed to S1. Three-layer theoretical correspondence: the Montgomery pair-correlation conjecture (GUE universality class), β=2 level repulsion O(a³) (universal shape), and the super-GUE negative deviation attributed to finite-T arithmetic terms (the BGS error / Montgomery F(α)≥|α|, same source).</w:t>
      </w:r>
    </w:p>
    <w:p>
      <w:pPr>
        <w:spacing w:after="200"/>
      </w:pPr>
      <w:r>
        <w:t>Keywords: full-scale GUE pair correlation; online simple-zero proportion 1−o(1); pair constant; super-GUE repulsion; calibration fixes</w:t>
      </w:r>
    </w:p>
    <w:p>
      <w:pPr>
        <w:pStyle w:val="Heading1"/>
      </w:pPr>
      <w:r>
        <w:t>1　Background and Main Line</w:t>
      </w:r>
    </w:p>
    <w:p>
      <w:pPr>
        <w:pStyle w:val="Heading2"/>
      </w:pPr>
      <w:r>
        <w:t>1.1　XLI coordinates and the “drive to 1” route</w:t>
      </w:r>
    </w:p>
    <w:p>
      <w:r>
        <w:t>Offense XLI (delivered to d1) closed the QRH constant mechanism under the pseudorandom (GUE) premise: single-family pair constants A_min=1.0079 (ζ) / 1.0114 (L) with kernel fejer_a0.5, the 7/8 threshold A≤1.125 met with margin 0.1171/0.1136; the decomposition argument gives the union online simple-zero proportion ≈0.990; the theorem takes a purely conditional (weak-premise) form whose hypotheses (H1)(H2) are directly testable numerically. XLI §8 sets the next-stage main line: upgrade (H2) to full-scale GUE pair correlation as λ(T)→∞ — a strong Montgomery-type statement for the fixed-modulus real character L(s,χ₅) (an open construction within our framework) — whence Proposition 2.1 directly gives A→1 and the online proportion →1−o(1), i.e. the framework-internal version of the literature statement “strong pair-correlation conjecture ⟹ almost all zeros are simple”; the 7/8 threshold remains the current theorem coordinate. The user rejected the 31/32 threshold (7/8 is the current AI value), fixing the main-line target as “drive to 1”.</w:t>
      </w:r>
    </w:p>
    <w:p>
      <w:pPr>
        <w:pStyle w:val="Heading2"/>
      </w:pPr>
      <w:r>
        <w:t>1.2　Four-stage plan and the S0 gate</w:t>
      </w:r>
    </w:p>
    <w:p>
      <w:r>
        <w:t>The “drive to 1” plan has four stages S0–S3: S0 numerical orientation (gate: does A(λ) approach 1 monotonically with no rebound over long range); S1 theoretical construction (λ(T) growth scheme, derivation of A=1+O(λ^{-1}), weighted union theorem form); S2 numerical verification (Weil explicit-formula real-part injection sensitivity: measurability of N_off·δ²·(logx)² accumulation); S3 closed-loop archival. This note executes S0 and gives the verdict.</w:t>
      </w:r>
    </w:p>
    <w:p>
      <w:pPr>
        <w:pStyle w:val="Heading1"/>
      </w:pPr>
      <w:r>
        <w:t>2　Numerical Setup and Methods</w:t>
      </w:r>
    </w:p>
    <w:p>
      <w:pPr>
        <w:pStyle w:val="Heading2"/>
      </w:pPr>
      <w:r>
        <w:t>2.1　Data and zero density</w:t>
      </w:r>
    </w:p>
    <w:p>
      <w:r>
        <w:t>Zero data: T=6×10⁵ with t&lt;300 removed; 999354 ζ-zeros and 1149836 L(s,χ₅)-zeros. Normalization density ρ_ζ(t)=log(t/2π)/2π; for the L family the constant term −1 in ρ_L=(1/2π)[log(t/(2π))−1+log5] was found by calibration to be erroneous: after removing it, the nearest-neighbor mean nn_mean rises from 0.9197 to 1.0027 (ζ is exactly 1.0000), a calibration factor ≈1.087. The global scale δ=logT/2π=2.1175 (used in XLI) gives u-average ≈1.74≠1 over the wide-band data, and wide kernels amplify the normalization error — S0 therefore adopts the local normalization u=|Δ|·ρ(t_mid).</w:t>
      </w:r>
    </w:p>
    <w:p>
      <w:pPr>
        <w:pStyle w:val="Heading2"/>
      </w:pPr>
      <w:r>
        <w:t>2.2　Kernel family and spectral-support conversion</w:t>
      </w:r>
    </w:p>
    <w:p>
      <w:r>
        <w:t>Kernel K_a(u)=sinc²(πu/a). The spectral support is λ_eff(a)=π/a (Fourier convention e^{-2πiξu}); see Table 1. The XLI document’s statement “fejer_a0.5 has spectral support ≈0.5” is an inverted erroneous assignment — fejer_a0.5 actually has λ_eff=π/0.5=6.28≫1/2, far beyond the λ≤1/2 allowed in the unconditional framework (that freedom is precisely what the pseudorandom relaxation provides).</w:t>
      </w:r>
    </w:p>
    <w:p>
      <w:pPr>
        <w:pStyle w:val="Caption"/>
      </w:pPr>
      <w:r>
        <w:t>Table 1　Kernel width a and spectral support λ_eff=π/a (selection)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rPr>
          <w:tblHeader w:val="true"/>
          <w:cantSplit/>
        </w:trPr>
        <w:tc>
          <w:tcPr>
            <w:tcW w:type="dxa" w:w="113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a</w:t>
            </w:r>
          </w:p>
        </w:tc>
        <w:tc>
          <w:tcPr>
            <w:tcW w:type="dxa" w:w="113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0.1</w:t>
            </w:r>
          </w:p>
        </w:tc>
        <w:tc>
          <w:tcPr>
            <w:tcW w:type="dxa" w:w="113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0.25</w:t>
            </w:r>
          </w:p>
        </w:tc>
        <w:tc>
          <w:tcPr>
            <w:tcW w:type="dxa" w:w="113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0.5</w:t>
            </w:r>
          </w:p>
        </w:tc>
        <w:tc>
          <w:tcPr>
            <w:tcW w:type="dxa" w:w="113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1.0</w:t>
            </w:r>
          </w:p>
        </w:tc>
        <w:tc>
          <w:tcPr>
            <w:tcW w:type="dxa" w:w="113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2.0</w:t>
            </w:r>
          </w:p>
        </w:tc>
        <w:tc>
          <w:tcPr>
            <w:tcW w:type="dxa" w:w="113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4.0</w:t>
            </w:r>
          </w:p>
        </w:tc>
        <w:tc>
          <w:tcPr>
            <w:tcW w:type="dxa" w:w="113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8.0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λ_eff=π/a</w:t>
            </w:r>
          </w:p>
        </w:tc>
        <w:tc>
          <w:tcPr>
            <w:tcW w:type="dxa" w:w="113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31.42</w:t>
            </w:r>
          </w:p>
        </w:tc>
        <w:tc>
          <w:tcPr>
            <w:tcW w:type="dxa" w:w="113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12.57</w:t>
            </w:r>
          </w:p>
        </w:tc>
        <w:tc>
          <w:tcPr>
            <w:tcW w:type="dxa" w:w="113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6.28</w:t>
            </w:r>
          </w:p>
        </w:tc>
        <w:tc>
          <w:tcPr>
            <w:tcW w:type="dxa" w:w="113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3.14</w:t>
            </w:r>
          </w:p>
        </w:tc>
        <w:tc>
          <w:tcPr>
            <w:tcW w:type="dxa" w:w="113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1.57</w:t>
            </w:r>
          </w:p>
        </w:tc>
        <w:tc>
          <w:tcPr>
            <w:tcW w:type="dxa" w:w="113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0.79</w:t>
            </w:r>
          </w:p>
        </w:tc>
        <w:tc>
          <w:tcPr>
            <w:tcW w:type="dxa" w:w="113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0.39</w:t>
            </w:r>
          </w:p>
        </w:tc>
      </w:tr>
    </w:tbl>
    <w:p>
      <w:pPr>
        <w:spacing w:after="40"/>
      </w:pPr>
    </w:p>
    <w:p>
      <w:pPr>
        <w:pStyle w:val="Heading2"/>
      </w:pPr>
      <w:r>
        <w:t>2.3　Pair constant, normalization, and two-sided comparison</w:t>
      </w:r>
    </w:p>
    <w:p>
      <w:r>
        <w:t>A(K)=1+Σ_{ordered pairs}K(δΔ)²/N (ordered pairs count both sides i≠j; this is the ΣK² in Proposition 2.1). The two-sided GUE prediction is GUE2(a)=1+2∫₀^∞(1−sinc²πu)sinc⁴(πu/a)du (two-point correlation ρ₂=1−sinc²πu); the Poisson baseline is Poi2(a)=1+2a/3. The initial one-sided comparison (missing the factor 2) counted the ordered-pair sum at half strength and produced the false alarm of “super-Poisson deviation”; a minimal geometric check (constant-intensity Poisson narrow band, uniform ρ≡1 points, analytic ∫sinc⁴=1/3) identified a convention problem rather than a code bug — the final version uses the two-sided comparison.</w:t>
      </w:r>
    </w:p>
    <w:p>
      <w:pPr>
        <w:pStyle w:val="Heading2"/>
      </w:pPr>
      <w:r>
        <w:t>2.4　Three calibration fixes</w:t>
      </w:r>
    </w:p>
    <w:p>
      <w:r>
        <w:t>(1) λ_eff conversion: fejer_a0.5 is 6.28, not 0.5 (inversion fixed); (2) the L-density −1 term: after removal nn_mean=1.0027; (3) global δ vs local ρ: ζ a0.5 reads 1.00789 (reproducing audit6 exactly) in the global convention against 1.01494 locally, a 0.7% difference that does not overturn the XLI conclusions (margin 0.11–0.12) — nevertheless the XLI numerical statements (Table 1/Table 3, the ρ_L formula, the λ_eff annotation) must be disclosed in the next XLI revision.</w:t>
      </w:r>
    </w:p>
    <w:p>
      <w:pPr>
        <w:pStyle w:val="Heading1"/>
      </w:pPr>
      <w:r>
        <w:t>3　S0 Results</w:t>
      </w:r>
    </w:p>
    <w:p>
      <w:pPr>
        <w:pStyle w:val="Heading2"/>
      </w:pPr>
      <w:r>
        <w:t>3.1　The full A(λ) curve (Table 2, Fig. 1)</w:t>
      </w:r>
    </w:p>
    <w:p>
      <w:pPr>
        <w:pStyle w:val="Caption"/>
      </w:pPr>
      <w:r>
        <w:t>Table 2　Pair constant A(λ), full curve (T=6×10⁵, local normalization, ordered pairs; ζ−GUE2 = deviation of the observed from the two-sided GUE prediction)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blHeader w:val="true"/>
          <w:cantSplit/>
        </w:trPr>
        <w:tc>
          <w:tcPr>
            <w:tcW w:type="dxa" w:w="1296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a</w:t>
            </w:r>
          </w:p>
        </w:tc>
        <w:tc>
          <w:tcPr>
            <w:tcW w:type="dxa" w:w="1296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λ_eff=π/a</w:t>
            </w:r>
          </w:p>
        </w:tc>
        <w:tc>
          <w:tcPr>
            <w:tcW w:type="dxa" w:w="1296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A_ζ</w:t>
            </w:r>
          </w:p>
        </w:tc>
        <w:tc>
          <w:tcPr>
            <w:tcW w:type="dxa" w:w="1296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A_L</w:t>
            </w:r>
          </w:p>
        </w:tc>
        <w:tc>
          <w:tcPr>
            <w:tcW w:type="dxa" w:w="1296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GUE2</w:t>
            </w:r>
          </w:p>
        </w:tc>
        <w:tc>
          <w:tcPr>
            <w:tcW w:type="dxa" w:w="1296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Poi2</w:t>
            </w:r>
          </w:p>
        </w:tc>
        <w:tc>
          <w:tcPr>
            <w:tcW w:type="dxa" w:w="1296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ζ−GUE2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0.1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31.4159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1.00013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1.000171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1.000162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1.066667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-3e-05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0.15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20.944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1.000436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1.000514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1.000537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1.1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-0.0001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0.2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15.708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1.001026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1.00111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1.001253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1.133333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-0.00023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0.25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12.5664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1.001986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1.002031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1.002409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1.166667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-0.00042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0.3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10.472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1.003393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1.003365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1.004095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1.2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-0.0007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0.35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8.976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1.005321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1.005194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1.006396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1.233333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-0.00107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0.4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7.854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1.007844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1.007593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1.009387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1.266667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-0.00154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0.45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6.9813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1.01103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1.010639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1.013137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1.3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-0.00211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0.5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6.2832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1.014941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1.014399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1.017708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1.333333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-0.00277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0.75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4.1888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1.04724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1.045839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1.054492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1.5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-0.00725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3.1416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1.104242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1.101603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1.116667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1.666667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-0.01242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1.5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2.0944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1.291607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1.285773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1.310764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2.0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-0.01916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2.0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1.5708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1.545402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1.536782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1.566666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2.333333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-0.02126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3.0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1.0472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2.133698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2.120731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2.155555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2.999999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-0.02186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4.0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0.7854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2.762261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2.746563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2.78333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3.666664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-0.02107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6.0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0.5236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4.058051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4.040832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4.077762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4.999985</w:t>
            </w:r>
          </w:p>
        </w:tc>
        <w:tc>
          <w:tcPr>
            <w:tcW w:type="dxa" w:w="1296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-0.01971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8.0</w:t>
            </w:r>
          </w:p>
        </w:tc>
        <w:tc>
          <w:tcPr>
            <w:tcW w:type="dxa" w:w="1296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0.3927</w:t>
            </w:r>
          </w:p>
        </w:tc>
        <w:tc>
          <w:tcPr>
            <w:tcW w:type="dxa" w:w="1296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5.371905</w:t>
            </w:r>
          </w:p>
        </w:tc>
        <w:tc>
          <w:tcPr>
            <w:tcW w:type="dxa" w:w="1296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5.355897</w:t>
            </w:r>
          </w:p>
        </w:tc>
        <w:tc>
          <w:tcPr>
            <w:tcW w:type="dxa" w:w="1296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5.391618</w:t>
            </w:r>
          </w:p>
        </w:tc>
        <w:tc>
          <w:tcPr>
            <w:tcW w:type="dxa" w:w="1296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6.333284</w:t>
            </w:r>
          </w:p>
        </w:tc>
        <w:tc>
          <w:tcPr>
            <w:tcW w:type="dxa" w:w="1296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-0.01971</w:t>
            </w:r>
          </w:p>
        </w:tc>
      </w:tr>
    </w:tbl>
    <w:p>
      <w:pPr>
        <w:spacing w:after="40"/>
      </w:pPr>
    </w:p>
    <w:p>
      <w:r>
        <w:t>Reading: (i) the three-layer structure Poisson&gt;GUE&gt;observed — repulsion suppresses the pair sum; (ii) the observed values track GUE2 closely (wide-end plateau −0.020~−0.022), with no rebound at any scale; (iii) the narrow end is monotone to 1: as a=0.5→0.1, A_ζ−1 falls monotonically from 0.01494 to 0.00013, and A_L−1 from 0.01440 to 0.00017 — monotonicity verdict True.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082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lii_s0_fig1_30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82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Fig. 1　Full A(λ) curve vs two-sided GUE/Poisson (T=6×10⁵, local normalization): observed (ζ black, L red) hugging the GUE prediction (blue); three-layer structure, 7/8 threshold and C_MT reference lines; monotone approach to 1 with no rebound at the narrow end</w:t>
      </w:r>
    </w:p>
    <w:p>
      <w:pPr>
        <w:pStyle w:val="Heading2"/>
      </w:pPr>
      <w:r>
        <w:t>3.2　Minimal gaps and the repulsion-violation search (Table 3)</w:t>
      </w:r>
    </w:p>
    <w:p>
      <w:pPr>
        <w:pStyle w:val="Caption"/>
      </w:pPr>
      <w:r>
        <w:t>Table 3　Minimal gaps and repulsion-violation counts (s&lt;ε = number of normalized nearest-neighbor gaps below ε; GUE column = theoretical prediction)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rPr>
          <w:tblHeader w:val="true"/>
          <w:cantSplit/>
        </w:trPr>
        <w:tc>
          <w:tcPr>
            <w:tcW w:type="dxa" w:w="113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family</w:t>
            </w:r>
          </w:p>
        </w:tc>
        <w:tc>
          <w:tcPr>
            <w:tcW w:type="dxa" w:w="113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n</w:t>
            </w:r>
          </w:p>
        </w:tc>
        <w:tc>
          <w:tcPr>
            <w:tcW w:type="dxa" w:w="113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s_min</w:t>
            </w:r>
          </w:p>
        </w:tc>
        <w:tc>
          <w:tcPr>
            <w:tcW w:type="dxa" w:w="113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s&lt;0.05</w:t>
            </w:r>
          </w:p>
        </w:tc>
        <w:tc>
          <w:tcPr>
            <w:tcW w:type="dxa" w:w="113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s&lt;0.01</w:t>
            </w:r>
          </w:p>
        </w:tc>
        <w:tc>
          <w:tcPr>
            <w:tcW w:type="dxa" w:w="113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s&lt;0.005</w:t>
            </w:r>
          </w:p>
        </w:tc>
        <w:tc>
          <w:tcPr>
            <w:tcW w:type="dxa" w:w="113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s&lt;0.001</w:t>
            </w:r>
          </w:p>
        </w:tc>
        <w:tc>
          <w:tcPr>
            <w:tcW w:type="dxa" w:w="113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GUE(s&lt;0.01)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ζ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999354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0.01231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124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13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1.1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L</w:t>
            </w:r>
          </w:p>
        </w:tc>
        <w:tc>
          <w:tcPr>
            <w:tcW w:type="dxa" w:w="113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1149836</w:t>
            </w:r>
          </w:p>
        </w:tc>
        <w:tc>
          <w:tcPr>
            <w:tcW w:type="dxa" w:w="113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0.01326</w:t>
            </w:r>
          </w:p>
        </w:tc>
        <w:tc>
          <w:tcPr>
            <w:tcW w:type="dxa" w:w="113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180</w:t>
            </w:r>
          </w:p>
        </w:tc>
        <w:tc>
          <w:tcPr>
            <w:tcW w:type="dxa" w:w="113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13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13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13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1.2</w:t>
            </w:r>
          </w:p>
        </w:tc>
      </w:tr>
    </w:tbl>
    <w:p>
      <w:pPr>
        <w:spacing w:after="40"/>
      </w:pPr>
    </w:p>
    <w:p>
      <w:r>
        <w:t>The count of s&lt;0.01 is 0 (GUE prediction 1.1/1.2) — no sign of a repulsion-violating gap. Structural multiple zeros (their pair term K(0)=1 does not vanish as the kernel narrows) would block A→1; this obstacle is excluded here.</w:t>
      </w:r>
    </w:p>
    <w:p>
      <w:pPr>
        <w:pStyle w:val="Heading2"/>
      </w:pPr>
      <w:r>
        <w:t>3.3　Finite-T fluctuation calibration (Table 4)</w:t>
      </w:r>
    </w:p>
    <w:p>
      <w:pPr>
        <w:pStyle w:val="Caption"/>
      </w:pPr>
      <w:r>
        <w:t>Table 4　Segment drift of A (5 segments, 300–6×10⁵, local normalization; adj = maximal adjacent-segment difference, range = full-span difference)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rPr>
          <w:tblHeader w:val="true"/>
          <w:cantSplit/>
        </w:trPr>
        <w:tc>
          <w:tcPr>
            <w:tcW w:type="dxa" w:w="1008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a</w:t>
            </w:r>
          </w:p>
        </w:tc>
        <w:tc>
          <w:tcPr>
            <w:tcW w:type="dxa" w:w="1008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family</w:t>
            </w:r>
          </w:p>
        </w:tc>
        <w:tc>
          <w:tcPr>
            <w:tcW w:type="dxa" w:w="1008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seg1</w:t>
            </w:r>
          </w:p>
        </w:tc>
        <w:tc>
          <w:tcPr>
            <w:tcW w:type="dxa" w:w="1008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seg2</w:t>
            </w:r>
          </w:p>
        </w:tc>
        <w:tc>
          <w:tcPr>
            <w:tcW w:type="dxa" w:w="1008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seg3</w:t>
            </w:r>
          </w:p>
        </w:tc>
        <w:tc>
          <w:tcPr>
            <w:tcW w:type="dxa" w:w="1008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seg4</w:t>
            </w:r>
          </w:p>
        </w:tc>
        <w:tc>
          <w:tcPr>
            <w:tcW w:type="dxa" w:w="1008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seg5</w:t>
            </w:r>
          </w:p>
        </w:tc>
        <w:tc>
          <w:tcPr>
            <w:tcW w:type="dxa" w:w="1008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adj max</w:t>
            </w:r>
          </w:p>
        </w:tc>
        <w:tc>
          <w:tcPr>
            <w:tcW w:type="dxa" w:w="1008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range</w:t>
            </w:r>
          </w:p>
        </w:tc>
      </w:tr>
      <w:tr>
        <w:trPr>
          <w:cantSplit/>
        </w:trPr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0.3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ζ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1.003053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1.003287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1.003704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1.003405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1.003519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0.000417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0.000651</w:t>
            </w:r>
          </w:p>
        </w:tc>
      </w:tr>
      <w:tr>
        <w:trPr>
          <w:cantSplit/>
        </w:trPr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0.5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ζ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1.013811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1.014732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1.015648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1.014947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1.01541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0.00092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0.001837</w:t>
            </w:r>
          </w:p>
        </w:tc>
      </w:tr>
      <w:tr>
        <w:trPr>
          <w:cantSplit/>
        </w:trPr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ζ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1.100496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1.1037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1.10518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1.105092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1.10593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0.003205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0.005434</w:t>
            </w:r>
          </w:p>
        </w:tc>
      </w:tr>
      <w:tr>
        <w:trPr>
          <w:cantSplit/>
        </w:trPr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2.0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ζ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1.541205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1.544822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1.546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1.54676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1.547298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0.003617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0.006093</w:t>
            </w:r>
          </w:p>
        </w:tc>
      </w:tr>
      <w:tr>
        <w:trPr>
          <w:cantSplit/>
        </w:trPr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0.3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L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1.003195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1.003306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1.003502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1.003562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1.003284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0.000278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0.000367</w:t>
            </w:r>
          </w:p>
        </w:tc>
      </w:tr>
      <w:tr>
        <w:trPr>
          <w:cantSplit/>
        </w:trPr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0.5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L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1.013435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1.014179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1.014736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1.014835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1.014709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0.000744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0.0014</w:t>
            </w:r>
          </w:p>
        </w:tc>
      </w:tr>
      <w:tr>
        <w:trPr>
          <w:cantSplit/>
        </w:trPr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L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1.097357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1.100856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1.102223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1.103206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1.103535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0.003498</w:t>
            </w:r>
          </w:p>
        </w:tc>
        <w:tc>
          <w:tcPr>
            <w:tcW w:type="dxa" w:w="10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0.006178</w:t>
            </w:r>
          </w:p>
        </w:tc>
      </w:tr>
      <w:tr>
        <w:trPr>
          <w:cantSplit/>
        </w:trPr>
        <w:tc>
          <w:tcPr>
            <w:tcW w:type="dxa" w:w="1008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2.0</w:t>
            </w:r>
          </w:p>
        </w:tc>
        <w:tc>
          <w:tcPr>
            <w:tcW w:type="dxa" w:w="1008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L</w:t>
            </w:r>
          </w:p>
        </w:tc>
        <w:tc>
          <w:tcPr>
            <w:tcW w:type="dxa" w:w="1008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1.530121</w:t>
            </w:r>
          </w:p>
        </w:tc>
        <w:tc>
          <w:tcPr>
            <w:tcW w:type="dxa" w:w="1008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1.535878</w:t>
            </w:r>
          </w:p>
        </w:tc>
        <w:tc>
          <w:tcPr>
            <w:tcW w:type="dxa" w:w="1008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1.537774</w:t>
            </w:r>
          </w:p>
        </w:tc>
        <w:tc>
          <w:tcPr>
            <w:tcW w:type="dxa" w:w="1008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1.539015</w:t>
            </w:r>
          </w:p>
        </w:tc>
        <w:tc>
          <w:tcPr>
            <w:tcW w:type="dxa" w:w="1008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1.539824</w:t>
            </w:r>
          </w:p>
        </w:tc>
        <w:tc>
          <w:tcPr>
            <w:tcW w:type="dxa" w:w="1008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0.005757</w:t>
            </w:r>
          </w:p>
        </w:tc>
        <w:tc>
          <w:tcPr>
            <w:tcW w:type="dxa" w:w="1008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0.009702</w:t>
            </w:r>
          </w:p>
        </w:tc>
      </w:tr>
    </w:tbl>
    <w:p>
      <w:pPr>
        <w:spacing w:after="40"/>
      </w:pPr>
    </w:p>
    <w:p>
      <w:r>
        <w:t>Verdict: the narrow-end signal far exceeds the drift (ζ a0.5: adj ≤0.00092, range 0.00184; L: ≤0.00074 / 0.0014); the wide-end negative deviation (a −0.02 plateau) exceeds the drift by a factor ≈3 — a systematic signal. The negative deviation converges with height: ζ a0.5 across five segments moves 1.0138→1.0154 toward GUE2=1.0177, L similarly — the signature of a finite-T arithmetic term.</w:t>
      </w:r>
    </w:p>
    <w:p>
      <w:pPr>
        <w:pStyle w:val="Heading2"/>
      </w:pPr>
      <w:r>
        <w:t>3.4　GUE simulation comparison</w:t>
      </w:r>
    </w:p>
    <w:p>
      <w:r>
        <w:t>GUE matrix simulation (N=4000×12, calibrated so that nn_mean=1.0000): A_sim essentially coincides with the GUE2 theory (positive bias +0.001~+0.006: a0.5 1.01863 vs 1.01771, a8 5.39678 vs 5.39162); the observed values lie systematically below GUE with the deviation exceeding the segment drift by a factor ≈3 — the negative deviation is a genuine super-GUE repulsion signal, not a finite-N artifact. Its direction (stronger repulsion → fewer pairs → smaller A → proportion closer to 1) supports “drive to 1”.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9828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lii_s0_fig2_30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8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Fig. 2　A−1 convergence (log-log): observed (ζ black, L red) descending parallel to the GUE2 theory (blue) and slightly below it — super-GUE repulsion; the GUE simulation (purple triangles) ≈ theory, excluding finite-N artifacts; O(a³) slope at the narrow end</w:t>
      </w:r>
    </w:p>
    <w:p>
      <w:pPr>
        <w:pStyle w:val="Heading1"/>
      </w:pPr>
      <w:r>
        <w:t>4　Verdict and Theoretical Correspondence</w:t>
      </w:r>
    </w:p>
    <w:p>
      <w:pPr>
        <w:pStyle w:val="Heading2"/>
      </w:pPr>
      <w:r>
        <w:t>4.1　The S0 gate verdict</w:t>
      </w:r>
    </w:p>
    <w:p>
      <w:r>
        <w:t>The four conditions are checked item by item: A(λ) monotone to 1 with no rebound (passed); full curve hugging GUE (passed); no repulsion-violating gap (passed); finite-T fluctuation under control (passed). Verdict: S0 passes; the main line proceeds to S1.</w:t>
      </w:r>
    </w:p>
    <w:p>
      <w:pPr>
        <w:pStyle w:val="Heading2"/>
      </w:pPr>
      <w:r>
        <w:t>4.2　Three-layer theoretical correspondence</w:t>
      </w:r>
    </w:p>
    <w:p>
      <w:r>
        <w:t>(i) The full curve hugging GUE ⟺ the Montgomery pair-correlation conjecture / GUE universality class: for ζ this is a conjecture (strong numerical verification by Odlyzko at height 10²²); for the fixed-modulus real character L(s,χ₅) there is no unconditional version in the literature — precisely (H2)/(H2′). The data exhibit GUE structure already at low height (T=6×10⁵), consistent with the known experience that universality shows up at low height.</w:t>
      </w:r>
    </w:p>
    <w:p>
      <w:r>
        <w:t>(ii) The narrow-end A−1~O(a³) ⟺ the GUE β=2 level-repulsion universal shape: 1−sinc²πu~π²u²/3 as u→0 (quadratic zero of the two-point correlation), sinc⁴≈1 inside the window, ∫₀^a u²du~a³; for the GUE class Dyson’s log-gas result is a theorem, for ζ a conjecture. The data independently reproduce the β=2 slope (Fig. 2: observed parallel to GUE2), excluding Poisson β=0 (A−1~a) and the symplectic β=4 (A−1~a⁵) — the strongest anchor.</w:t>
      </w:r>
    </w:p>
    <w:p>
      <w:r>
        <w:t>(iii) The super-GUE negative deviation ⟺ finite-T arithmetic terms: the BGS Lemma 5 error O_f(1/√logT) carries a kernel-dependent constant; Montgomery’s F(α)≥|α| (|α|&lt;1, nontrivial lower bound from the prime terms, with equality predicted by GUE) is the same-source structure, translated by Parseval into a deviation of the real-space pair sum (sign and shape to be derived strictly in S1a). Decisive evidence: the segment drift shows the negative deviation converging with T (low-t segments deviate more; high-t segments approach GUE) — the direct signature of “deviation = arithmetic term decaying with T”; the GUE simulation excludes the finite-N correction direction.</w:t>
      </w:r>
    </w:p>
    <w:p>
      <w:pPr>
        <w:pStyle w:val="Heading2"/>
      </w:pPr>
      <w:r>
        <w:t>4.3　Honest boundaries</w:t>
      </w:r>
    </w:p>
    <w:p>
      <w:r>
        <w:t>(1) The data reach only T=6×10⁵ and λ_eff≤31.4; “full scale as λ(T)→∞ at infinite height” remains hypothesis (H2′), not a theorem. (2) The super-GUE repulsion is marginally significant (ζ a0.5 deviation −0.00277, ≈3 times the adjacent segment drift 0.00092); it is not used as a theorem hypothesis, only recorded as directionally favorable. (3) The XLI old-convention numbers (global δ, the ρ_L with −1, the λ_eff≈0.5 annotation) differ from this note; conclusions do not flip but must be disclosed in the XLI revision. (4) The kernel scan is finite (fejer family), not an exhaustive search of the variational space.</w:t>
      </w:r>
    </w:p>
    <w:p>
      <w:pPr>
        <w:pStyle w:val="Heading1"/>
      </w:pPr>
      <w:r>
        <w:t>5　Next Steps: the S1 Split</w:t>
      </w:r>
    </w:p>
    <w:p>
      <w:pPr>
        <w:pStyle w:val="Heading2"/>
      </w:pPr>
      <w:r>
        <w:t>5.1　S1a: arithmetic-term attribution (quantifying layer (iii))</w:t>
      </w:r>
    </w:p>
    <w:p>
      <w:r>
        <w:t>(1) Parseval: translate A(a)−GUE2(a) into F(α,T)−|α| for α∈(0,1), compare with the excess above Montgomery’s lower bound, and verify sign and shape; (2) decay law: fit Δ(a;T)~c(a)/logT or c(a)/√logT over the five segments to distinguish the BGS error structure; (3) kernel-dependent constants: order the deviations of the fejer/sinc/gauss families by the smoothness of their Fourier support (audit6 data already available).</w:t>
      </w:r>
    </w:p>
    <w:p>
      <w:pPr>
        <w:pStyle w:val="Heading2"/>
      </w:pPr>
      <w:r>
        <w:t>5.2　S1b: construction of the λ(T) scheme</w:t>
      </w:r>
    </w:p>
    <w:p>
      <w:r>
        <w:t>Make (H2′) explicit (a strong Montgomery-type statement as λ(T)→∞, with growth rate and error shape); derive A=1+O(λ^{-1}); incorporate the structural-multiple-zero term (s&lt;0.01 already excluded); weighted union → the theorem form with online proportion 1−o(1).</w:t>
      </w:r>
    </w:p>
    <w:p>
      <w:pPr>
        <w:pStyle w:val="Heading1"/>
      </w:pPr>
      <w:r>
        <w:t>References</w:t>
      </w:r>
    </w:p>
    <w:p>
      <w:pPr>
        <w:spacing w:after="40"/>
      </w:pPr>
      <w:r>
        <w:t>[1] Lamzouri Y. A new proof that more than 2/3 of the zeros of the Riemann zeta function are simple and on the critical line. arXiv:2609.02882v2 (Proposition 2.1 (N₀ˢ≥2Σ1−ΣK²), Lemma 3.2 (optimal kernel f₀(x)=cos(√2x)/(√2sin(1/√2)), C_MT=1/2+(1/√2)cot(1/√2)=1.3274992963), Remark 3.4 (C_η≥C_MT optimality)) — read in full.</w:t>
      </w:r>
    </w:p>
    <w:p>
      <w:pPr>
        <w:spacing w:after="40"/>
      </w:pPr>
      <w:r>
        <w:t>[2] Baluyot D, Goldston D, Suriajaya A I, et al. An unconditional Montgomery theorem for pair correlation of zeros of the Riemann zeta function. arXiv:2306.04799 (Lemma 5: unconditional pair-correlation formula, error O_f(1/√logT), weight w(z)=4/(4−z²); the BGS generalization to fixed-modulus L(χ) is an open construction).</w:t>
      </w:r>
    </w:p>
    <w:p>
      <w:pPr>
        <w:spacing w:after="40"/>
      </w:pPr>
      <w:r>
        <w:t>[3] Özlük A E. On the pair correlation of zeros of Dirichlet L-functions (1982; at least 11/12 simple under GRH, with weight) — verified via the introduction of Kandhil–Languasco–Moree.</w:t>
      </w:r>
    </w:p>
    <w:p>
      <w:pPr>
        <w:spacing w:after="40"/>
      </w:pPr>
      <w:r>
        <w:t>[4] Kandhil N, Languasco A, Moree P. Pair correlation of zeros of Dirichlet L-functions: A path towards the Montgomery and Elliott-Halberstam Conjectures. arXiv:2411.19762 (Yıldırım theorem / Conjecture 1: cross-character-average pair correlation, GRH premise) — read in full.</w:t>
      </w:r>
    </w:p>
    <w:p>
      <w:pPr>
        <w:spacing w:after="40"/>
      </w:pPr>
      <w:r>
        <w:t>[5] Carneiro E, Milinovich M B, Ramos A P. Fourier optimization and Montgomery's pair correlation conjecture. arXiv:2310.01913 (F-average 0.9303–1.3208, including Dirichlet L-function families).</w:t>
      </w:r>
    </w:p>
    <w:p>
      <w:pPr>
        <w:spacing w:after="40"/>
      </w:pPr>
      <w:r>
        <w:t>[6] Odlyzko A M. The 10^22-nd zero of the Riemann zeta function (10¹⁰ zeros; numerical verification of RH and GUE pair correlation — “confirmed the GUE connection”).</w:t>
      </w:r>
    </w:p>
    <w:p>
      <w:pPr>
        <w:spacing w:after="40"/>
      </w:pPr>
      <w:r>
        <w:t>[7] Defense-XLII numerical package (this work; reproducible with Anaconda python): qrh_work/xlii_s0.py (v1 global convention), xlii_s0_v2.py (v2 local, with the erroneous L density), xlii_s0_v3.py (final: local normalization + two-sided GUE + L calibration), xlii_s0_check.py (Poisson simulation / ρ₂ debugging), xlii_s0_debug.py (minimal verification of the factor 2), xlii_s0_gue.py (GUE simulation), xlii_s0_plot.py (figures); results xlii_s0_v3.json, xlii_s0_gue_sim.json; zero data zeros_T6e5.npz (T=6×10⁵, ζ 999354 / L 1149836 roots).</w:t>
      </w:r>
    </w:p>
    <w:p>
      <w:pPr>
        <w:spacing w:after="40"/>
      </w:pPr>
      <w:r>
        <w:t>[8] Offense XLI (delivered to d1): conditional form of the pseudorandom union theorem — 7/8 threshold, fejer_a0.5 optimal kernel, decomposition argument, three-layer premise reliability.</w:t>
      </w:r>
    </w:p>
    <w:p>
      <w:pPr>
        <w:spacing w:after="40"/>
      </w:pPr>
      <w:r>
        <w:t>[9] Offense XL (delivered to d1): theoretical construction of the unconditional bound on the pairing side — the 0.6725 constant gap is of QRH-mechanism type; Offense XXXIX (S4): fine form of the online-proportion-bridge remainder.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 PAGE 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Chars="200" w:firstLine="420"/>
      <w:jc w:val="both"/>
    </w:pPr>
    <w:rPr>
      <w:rFonts w:ascii="Times New Roman" w:hAnsi="Times New Roman" w:eastAsia="宋体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cstheme="majorBidi" w:ascii="Times New Roman" w:hAnsi="Times New Roman" w:eastAsia="黑体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cstheme="majorBidi" w:ascii="Times New Roman" w:hAnsi="Times New Roman" w:eastAsia="黑体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  <w:jc w:val="center"/>
    </w:pPr>
    <w:rPr>
      <w:rFonts w:cstheme="majorBidi" w:ascii="Times New Roman" w:hAnsi="Times New Roman" w:eastAsia="黑体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80" w:after="80"/>
      <w:jc w:val="center"/>
    </w:pPr>
    <w:rPr>
      <w:rFonts w:ascii="Times New Roman" w:hAnsi="Times New Roman" w:eastAsia="黑体"/>
      <w:b w:val="0"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