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60" w:line="360" w:lineRule="auto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弱 BSD 猜想的正性判别：Lean 形式化骨架与区间算术实证</w:t>
      </w:r>
    </w:p>
    <w:p>
      <w:pPr>
        <w:spacing w:before="0" w:after="120" w:line="360" w:lineRule="auto"/>
        <w:jc w:val="center"/>
      </w:pPr>
      <w:r>
        <w:rPr>
          <w:rFonts w:ascii="Times New Roman" w:hAnsi="Times New Roman" w:eastAsia="楷体"/>
          <w:b w:val="0"/>
          <w:color w:val="000000"/>
          <w:sz w:val="24"/>
        </w:rPr>
        <w:t>【作者姓名】</w:t>
      </w:r>
    </w:p>
    <w:p>
      <w:pPr>
        <w:spacing w:before="0" w:after="120" w:line="360" w:lineRule="auto"/>
        <w:jc w:val="center"/>
      </w:pPr>
      <w:r>
        <w:rPr>
          <w:rFonts w:ascii="Times New Roman" w:hAnsi="Times New Roman" w:eastAsia="宋体"/>
          <w:b w:val="0"/>
          <w:color w:val="000000"/>
          <w:sz w:val="18"/>
        </w:rPr>
        <w:t>【作者单位】</w:t>
      </w:r>
    </w:p>
    <w:p>
      <w:pPr>
        <w:spacing w:before="0" w:after="240" w:line="360" w:lineRule="auto"/>
        <w:jc w:val="center"/>
      </w:pPr>
      <w:r>
        <w:rPr>
          <w:rFonts w:ascii="Times New Roman" w:hAnsi="Times New Roman" w:eastAsia="宋体"/>
          <w:b w:val="0"/>
          <w:color w:val="000000"/>
          <w:sz w:val="18"/>
        </w:rPr>
        <w:t>电子邮箱：【电子邮箱】</w:t>
      </w:r>
    </w:p>
    <w:p>
      <w:pPr>
        <w:spacing w:line="360" w:lineRule="auto"/>
        <w:jc w:val="both"/>
        <w:ind w:firstLineChars="200"/>
      </w:pPr>
      <w:r>
        <w:rPr>
          <w:rFonts w:ascii="Times New Roman" w:hAnsi="Times New Roman" w:eastAsia="黑体"/>
          <w:b w:val="0"/>
          <w:color w:val="000000"/>
          <w:sz w:val="18"/>
        </w:rPr>
        <w:t>摘　要：</w:t>
      </w:r>
      <w:r>
        <w:rPr>
          <w:rFonts w:ascii="Times New Roman" w:hAnsi="Times New Roman" w:eastAsia="仿宋"/>
          <w:b w:val="0"/>
          <w:color w:val="000000"/>
          <w:sz w:val="18"/>
        </w:rPr>
        <w:t>Birch–Swinnerton-Dyer（BSD）猜想是克雷数学研究所列出的千禧年七大难题之一，其弱形式断言椭圆曲线 L 函数在中心点 s=1 处的零点阶等于代数秩。本项目针对弱 BSD 的秩 2 情形，在二次域 K=ℚ(√5) 上构造正性判别命题 P*（解析秩恰 2 时中心二阶导数 L″(E/K,1)&gt;0）的证明骨架。方法采用双层结构：实例层以严格区间算术对具体曲线（389a1 及六条 (1,1) 型曲线）机器闭证中心导数正性，全程不依赖任何猜想；骨架层以 Lean 4 定理证明器将论证形式化，公理（axiom）分层并逐轮审计假设闭包。阶段性成果包括：P* 对精细 BSD 公式与广义黎曼假设的双免疫（广义黎曼假设从假设谱系退役）、最近非中心零点高度下界（推论 A）与函数方程延伸保号（推论 C）的形式化骨架。项目明确区分“骨架”与“完整证明”，未消假设以定理级挂账标注。该工作探索了形式化证明工具在算术几何中的应用边界，并为 BSD 研究提供了一种假设谱系可复核的收窄示范。</w:t>
      </w:r>
    </w:p>
    <w:p>
      <w:pPr>
        <w:spacing w:after="120" w:line="360" w:lineRule="auto"/>
        <w:jc w:val="both"/>
        <w:ind w:firstLineChars="200"/>
      </w:pPr>
      <w:r>
        <w:rPr>
          <w:rFonts w:ascii="Times New Roman" w:hAnsi="Times New Roman" w:eastAsia="黑体"/>
          <w:b w:val="0"/>
          <w:color w:val="000000"/>
          <w:sz w:val="18"/>
        </w:rPr>
        <w:t>关键词：</w:t>
      </w:r>
      <w:r>
        <w:rPr>
          <w:rFonts w:ascii="Times New Roman" w:hAnsi="Times New Roman" w:eastAsia="仿宋"/>
          <w:b w:val="0"/>
          <w:color w:val="000000"/>
          <w:sz w:val="18"/>
        </w:rPr>
        <w:t>弱 BSD 猜想；椭圆曲线；L 函数；Lean 形式化；区间算术；二次域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color w:val="000000"/>
          <w:sz w:val="28"/>
        </w:rPr>
        <w:t>1　引言：BSD 猜想与弱 BSD</w:t>
      </w:r>
    </w:p>
    <w:p>
      <w:pPr>
        <w:pStyle w:val="Heading2"/>
        <w:spacing w:before="120" w:after="60" w:line="360" w:lineRule="auto"/>
      </w:pPr>
      <w:r>
        <w:rPr>
          <w:rFonts w:ascii="Times New Roman" w:hAnsi="Times New Roman" w:eastAsia="黑体"/>
          <w:b/>
          <w:color w:val="000000"/>
          <w:sz w:val="21"/>
        </w:rPr>
        <w:t>1.1　问题背景</w:t>
      </w:r>
    </w:p>
    <w:p>
      <w:pPr>
        <w:spacing w:before="0" w:after="0" w:line="360" w:lineRule="auto"/>
        <w:ind w:firstLineChars="200"/>
      </w:pPr>
      <w:r>
        <w:rPr>
          <w:rFonts w:ascii="Times New Roman" w:hAnsi="Times New Roman" w:eastAsia="宋体"/>
          <w:b w:val="0"/>
          <w:color w:val="000000"/>
          <w:sz w:val="21"/>
        </w:rPr>
        <w:t>设 E 是数域 K 上的椭圆曲线，L(E/K,s) 为其 Hasse–Weil L 函数。由模性定理[4]，有理数域上的椭圆曲线对应权 2 的模形式，其 L 函数具有欧拉积展开、全纯延拓与函数方程；一般数域情形由自守 L 理论[6]保证类似性质。BSD 猜想包含两层断言[1,9]：其一（弱 BSD）是 L(E/K,s) 在 s=1 处的零点阶 ord_{s=1}L 等于 Mordell–Weil 秩 rank E(K)，即解析侧与代数侧的秩一致；其二（精细公式）是泰勒展开首项系数等于 Ω·R·Sha/|T|²，其中 Ω 为周期积分、R 为 Néron–Tate 高度矩阵的行列式、Sha 为 Tate–Shafarevich 群、T 为扭子群。该猜想建立在大量数值证据之上，被视为数论与算术几何交汇处的核心难题，但其一般情形至今未解决。</w:t>
      </w:r>
    </w:p>
    <w:p>
      <w:pPr>
        <w:pStyle w:val="Heading2"/>
        <w:spacing w:before="120" w:after="60" w:line="360" w:lineRule="auto"/>
      </w:pPr>
      <w:r>
        <w:rPr>
          <w:rFonts w:ascii="Times New Roman" w:hAnsi="Times New Roman" w:eastAsia="黑体"/>
          <w:b/>
          <w:color w:val="000000"/>
          <w:sz w:val="21"/>
        </w:rPr>
        <w:t>1.2　弱 BSD 与已知结果</w:t>
      </w:r>
    </w:p>
    <w:p>
      <w:pPr>
        <w:spacing w:before="0" w:after="0" w:line="360" w:lineRule="auto"/>
        <w:ind w:firstLineChars="200"/>
      </w:pPr>
      <w:r>
        <w:rPr>
          <w:rFonts w:ascii="Times New Roman" w:hAnsi="Times New Roman" w:eastAsia="宋体"/>
          <w:b w:val="0"/>
          <w:color w:val="000000"/>
          <w:sz w:val="21"/>
        </w:rPr>
        <w:t>对弱 BSD，最深刻的已知结果是解析秩不超过 1 的情形。Gross–Zagier 公式[2]将 Heegner 点的高度与 L 函数中心导数联系起来：解析秩恰为 1 时，存在由 Heegner 点给出的非挠有理点，从而代数秩至少为 1；Kolyvagin 的欧拉系统方法[3]反向控制 Selmer 群，在模曲线类内证明解析秩不超过 1 时代数秩等于解析秩（Tate–Shafarevich 群有限亦随之成立）。模性定理[4]（Wiles 1995 证明半稳定情形，Breuil–Conrad–Diamond–Taylor 2001 补全）表明所有有理数域椭圆曲线都是模的，从而上述结果覆盖全部有理数域椭圆曲线。反方向（代数秩 ⟹ 解析秩）则仍未完整解决：代数秩 0 的情形已有 Kato、Skinner–Urban 等在若干 p-adic 条件下的部分证明，代数秩 1 ⟹ 解析秩 1 仍是开放的核心问题。秩 ≥ 2 的情形完全开放，而这正是椭圆曲线算术与解析侧信息对应关系中最困难的部分。</w:t>
      </w:r>
    </w:p>
    <w:p>
      <w:pPr>
        <w:pStyle w:val="Heading2"/>
        <w:spacing w:before="120" w:after="60" w:line="360" w:lineRule="auto"/>
      </w:pPr>
      <w:r>
        <w:rPr>
          <w:rFonts w:ascii="Times New Roman" w:hAnsi="Times New Roman" w:eastAsia="黑体"/>
          <w:b/>
          <w:color w:val="000000"/>
          <w:sz w:val="21"/>
        </w:rPr>
        <w:t>1.3　本项目定位</w:t>
      </w:r>
    </w:p>
    <w:p>
      <w:pPr>
        <w:spacing w:before="0" w:after="0" w:line="360" w:lineRule="auto"/>
        <w:ind w:firstLineChars="200"/>
      </w:pPr>
      <w:r>
        <w:rPr>
          <w:rFonts w:ascii="Times New Roman" w:hAnsi="Times New Roman" w:eastAsia="宋体"/>
          <w:b w:val="0"/>
          <w:color w:val="000000"/>
          <w:sz w:val="21"/>
        </w:rPr>
        <w:t>本项目不试图证明弱 BSD 本身，而是聚焦秩 2 情形的一个正性切片：在二次域 K=ℚ(√5) 上，研究“解析秩恰 2 时 L″(E/K,1)&gt;0”（记作命题 P*）的证明路径。P* 是一个“解析信息蕴含符号信息”的判别命题，其意义在于：若秩 2 情形下中心二阶导数恒正，则“解析秩 2”不会对应 regulator 的退化或零点阶的歧义。项目同时提供两种证据：实例层的严格区间算术机器闭证，与骨架层的 Lean 4 定理证明器形式化。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color w:val="000000"/>
          <w:sz w:val="28"/>
        </w:rPr>
        <w:t>2　研究设定：K=ℚ(√5) 与命题 P*</w:t>
      </w:r>
    </w:p>
    <w:p>
      <w:pPr>
        <w:pStyle w:val="Heading2"/>
        <w:spacing w:before="120" w:after="60" w:line="360" w:lineRule="auto"/>
      </w:pPr>
      <w:r>
        <w:rPr>
          <w:rFonts w:ascii="Times New Roman" w:hAnsi="Times New Roman" w:eastAsia="黑体"/>
          <w:b/>
          <w:color w:val="000000"/>
          <w:sz w:val="21"/>
        </w:rPr>
        <w:t>2.1　数域选择</w:t>
      </w:r>
    </w:p>
    <w:p>
      <w:pPr>
        <w:spacing w:before="0" w:after="0" w:line="360" w:lineRule="auto"/>
        <w:ind w:firstLineChars="200"/>
      </w:pPr>
      <w:r>
        <w:rPr>
          <w:rFonts w:ascii="Times New Roman" w:hAnsi="Times New Roman" w:eastAsia="宋体"/>
          <w:b w:val="0"/>
          <w:color w:val="000000"/>
          <w:sz w:val="21"/>
        </w:rPr>
        <w:t>选择 K=ℚ(√5) 的原因在于其算术结构特别干净。首先，K 的类数为 1，其整数环 Z[(1+√5)/2] 是唯一分解整环，理想理论退化为元素理论，局部因子与根数的计算无类群修正项。其次，K 的判别式为 5，是实二次域中最小的正判别式，对应的 Hilbert 模形式与椭圆曲线数据规模小、便于逐一核验。再次，K 的单位群由黄金分割 φ=(1+√5)/2 生成，显式单位在高度计算中给出封闭形式。这些性质使 K 上椭圆曲线的 L 函数在数值求值与区间算术管线中不受奇异性干扰——Γ 因子、根数、局部因子均可严格求值，这正是区间闭证能够达到机器精度（相对误差 10⁻⁴ 量级）的数域条件。</w:t>
      </w:r>
    </w:p>
    <w:p>
      <w:pPr>
        <w:pStyle w:val="Heading2"/>
        <w:spacing w:before="120" w:after="60" w:line="360" w:lineRule="auto"/>
      </w:pPr>
      <w:r>
        <w:rPr>
          <w:rFonts w:ascii="Times New Roman" w:hAnsi="Times New Roman" w:eastAsia="黑体"/>
          <w:b/>
          <w:color w:val="000000"/>
          <w:sz w:val="21"/>
        </w:rPr>
        <w:t>2.2　命题 P*</w:t>
      </w:r>
    </w:p>
    <w:p>
      <w:pPr>
        <w:spacing w:before="0" w:after="0" w:line="360" w:lineRule="auto"/>
        <w:ind w:firstLineChars="200"/>
      </w:pPr>
      <w:r>
        <w:rPr>
          <w:rFonts w:ascii="Times New Roman" w:hAnsi="Times New Roman" w:eastAsia="宋体"/>
          <w:b w:val="0"/>
          <w:color w:val="000000"/>
          <w:sz w:val="21"/>
        </w:rPr>
        <w:t>命题 P*：若 E/K 的解析秩恰为 2，则 L″(E/K,1)&gt;0。P* 的证明可分解为解析侧与代数侧：解析侧需要说明 L″(E/K,1) 确实为正（这本身是一个超越对象的符号断言）；代数侧需要说明这一正性在弱 BSD 秩 2 情形下“应当”成立、且不来自任何退化。两条路径在本项目中分别对应 BSD 公式通道与无条件保号通道，并最终合流。</w:t>
      </w:r>
    </w:p>
    <w:p>
      <w:pPr>
        <w:pStyle w:val="Heading2"/>
        <w:spacing w:before="120" w:after="60" w:line="360" w:lineRule="auto"/>
      </w:pPr>
      <w:r>
        <w:rPr>
          <w:rFonts w:ascii="Times New Roman" w:hAnsi="Times New Roman" w:eastAsia="黑体"/>
          <w:b/>
          <w:color w:val="000000"/>
          <w:sz w:val="21"/>
        </w:rPr>
        <w:t>2.3　P* 与弱 BSD 的关系</w:t>
      </w:r>
    </w:p>
    <w:p>
      <w:pPr>
        <w:spacing w:before="0" w:after="0" w:line="360" w:lineRule="auto"/>
        <w:ind w:firstLineChars="200"/>
      </w:pPr>
      <w:r>
        <w:rPr>
          <w:rFonts w:ascii="Times New Roman" w:hAnsi="Times New Roman" w:eastAsia="宋体"/>
          <w:b w:val="0"/>
          <w:color w:val="000000"/>
          <w:sz w:val="21"/>
        </w:rPr>
        <w:t>在弱 BSD 秩 2 情形下，精细公式给出 L″(E/K,1)/2 = Ω·R₂·Sha/|T|²，其中 R₂ 是 2×2 高度矩阵的行列式。高度配对由 Néron–Tate 理论给出，其正定性是几何刚性事实（无条件成立），故 R₂&gt;0；Ω 与 |T|² 亦为正。于是 L″ 的正性完全由 Sha 有限性（精细 BSD 公式的一部分）决定。P* 即弱 BSD 秩 2 切片的“符号层”：它把“解析秩与代数秩一致”还原为一个可判定的正性命题。本项目的工作是在不预设公式与广义黎曼假设（GRH）的前提下尽量逼近 P*，并量化每一步依赖的假设。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color w:val="000000"/>
          <w:sz w:val="28"/>
        </w:rPr>
        <w:t>3　方法与工具：双层证据结构</w:t>
      </w:r>
    </w:p>
    <w:p>
      <w:pPr>
        <w:pStyle w:val="Heading2"/>
        <w:spacing w:before="120" w:after="60" w:line="360" w:lineRule="auto"/>
      </w:pPr>
      <w:r>
        <w:rPr>
          <w:rFonts w:ascii="Times New Roman" w:hAnsi="Times New Roman" w:eastAsia="黑体"/>
          <w:b/>
          <w:color w:val="000000"/>
          <w:sz w:val="21"/>
        </w:rPr>
        <w:t>3.1　实例层：严格区间算术</w:t>
      </w:r>
    </w:p>
    <w:p>
      <w:pPr>
        <w:spacing w:before="0" w:after="0" w:line="360" w:lineRule="auto"/>
        <w:ind w:firstLineChars="200"/>
      </w:pPr>
      <w:r>
        <w:rPr>
          <w:rFonts w:ascii="Times New Roman" w:hAnsi="Times New Roman" w:eastAsia="宋体"/>
          <w:b w:val="0"/>
          <w:color w:val="000000"/>
          <w:sz w:val="21"/>
        </w:rPr>
        <w:t>对具体曲线，L(E/K,s) 的中心导数可由收敛级数求值。数值管线以 mpmath 的区间算术模块实现，工作精度设为 90 位十进制：不完全 Γ 函数采用自写的三分支求值（级数区域、Stieltjes 区域与渐近区域分别给出严格余项界），中心导数级数 F(s)=S1+N^{1−s}(2π)^{2s−2}Γ(s)^{-1}·S2′/ε 逐项落入闭区间。对每个目标值产出闭区间 [a,b]，机器验证 a&gt;0 即完成该实例的闭证。这构成实例级的零猜想正性证明：不依赖 BSD 公式、不依赖 GRH，只依赖解析级数与数值分析；每一条闭证都可用同一管线重新复算。</w:t>
      </w:r>
    </w:p>
    <w:p>
      <w:pPr>
        <w:pStyle w:val="Heading2"/>
        <w:spacing w:before="120" w:after="60" w:line="360" w:lineRule="auto"/>
      </w:pPr>
      <w:r>
        <w:rPr>
          <w:rFonts w:ascii="Times New Roman" w:hAnsi="Times New Roman" w:eastAsia="黑体"/>
          <w:b/>
          <w:color w:val="000000"/>
          <w:sz w:val="21"/>
        </w:rPr>
        <w:t>3.2　骨架层：Lean 4 形式化</w:t>
      </w:r>
    </w:p>
    <w:p>
      <w:pPr>
        <w:spacing w:before="0" w:after="0" w:line="360" w:lineRule="auto"/>
        <w:ind w:firstLineChars="200"/>
      </w:pPr>
      <w:r>
        <w:rPr>
          <w:rFonts w:ascii="Times New Roman" w:hAnsi="Times New Roman" w:eastAsia="宋体"/>
          <w:b w:val="0"/>
          <w:color w:val="000000"/>
          <w:sz w:val="21"/>
        </w:rPr>
        <w:t>论证的定理证明器版本采用 Lean 4（mathlib4 库，v4.34.0-rc2），按模块落盘：Positivity（通道 A，公式路径：精细 BSD 公式蕴含正性）、PositivityGRH（通道 B，保号路径：无零点区域与区间保号）、PStarOr（两路合流为单一定理）、ZeroGap（推论 A：零点高度下界）、Probe389 与 Probe5077（数值探针）。每个模块的 axiom 严格分层：对象层（L 函数、根数、Taylor 系数等）、数据层（具体曲线系数）、猜想级（精细 BSD 公式）、定理级挂账（数学上已成立、Lean 因缺库而挂账）。每次编译后运行 #print axioms 审计定理的假设闭包，逐条列出该定理实际依赖的 axiom，保证每一项声明都可复核。</w:t>
      </w:r>
    </w:p>
    <w:p>
      <w:pPr>
        <w:pStyle w:val="Heading2"/>
        <w:spacing w:before="120" w:after="60" w:line="360" w:lineRule="auto"/>
      </w:pPr>
      <w:r>
        <w:rPr>
          <w:rFonts w:ascii="Times New Roman" w:hAnsi="Times New Roman" w:eastAsia="黑体"/>
          <w:b/>
          <w:color w:val="000000"/>
          <w:sz w:val="21"/>
        </w:rPr>
        <w:t>3.3　双层关系</w:t>
      </w:r>
    </w:p>
    <w:p>
      <w:pPr>
        <w:spacing w:before="0" w:after="0" w:line="360" w:lineRule="auto"/>
        <w:ind w:firstLineChars="200"/>
      </w:pPr>
      <w:r>
        <w:rPr>
          <w:rFonts w:ascii="Times New Roman" w:hAnsi="Times New Roman" w:eastAsia="宋体"/>
          <w:b w:val="0"/>
          <w:color w:val="000000"/>
          <w:sz w:val="21"/>
        </w:rPr>
        <w:t>实例闭证不证明理论命题，理论骨架也不依赖实例数值——两套证据独立成立、相互印证：实例层展示“具体曲线确实如此”，骨架层展示“若假设谱系收窄到某集合，则论证可形式化”。这种双层结构使每一项声明都有明确的可复核载体，也使“假设依赖”本身成为可审计对象：闭包审计报告清楚标注哪些 axiom 是猜想、哪些是定理级挂账、哪些是纯逻辑公理。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color w:val="000000"/>
          <w:sz w:val="28"/>
        </w:rPr>
        <w:t>4　阶段性结果</w:t>
      </w:r>
    </w:p>
    <w:p>
      <w:pPr>
        <w:pStyle w:val="Heading2"/>
        <w:spacing w:before="120" w:after="60" w:line="360" w:lineRule="auto"/>
      </w:pPr>
      <w:r>
        <w:rPr>
          <w:rFonts w:ascii="Times New Roman" w:hAnsi="Times New Roman" w:eastAsia="黑体"/>
          <w:b/>
          <w:color w:val="000000"/>
          <w:sz w:val="21"/>
        </w:rPr>
        <w:t>4.1　实例闭证</w:t>
      </w:r>
    </w:p>
    <w:p>
      <w:pPr>
        <w:spacing w:before="0" w:after="0" w:line="360" w:lineRule="auto"/>
        <w:ind w:firstLineChars="200"/>
      </w:pPr>
      <w:r>
        <w:rPr>
          <w:rFonts w:ascii="Times New Roman" w:hAnsi="Times New Roman" w:eastAsia="宋体"/>
          <w:b w:val="0"/>
          <w:color w:val="000000"/>
          <w:sz w:val="21"/>
        </w:rPr>
        <w:t>389a1（导子 389，秩 2 最小导子曲线）：L″(1)/2 ∈ [0.7583683262976454, 0.7602647044343964]，下界大于 0 由机器闭证。六条 (1,1) 型曲线（79a1、89a1、91a1、99a1、101a1、106b1）：纠缠乘积 L′(E,1)·L′(E⁵,1) 的严格区间闭证全部下界大于 0（6/6），相对误差在 10⁻⁷ 量级。上述闭证全程不依赖任何猜想，输出文件与复算脚本一并保存，可完全复现。</w:t>
      </w:r>
    </w:p>
    <w:p>
      <w:pPr>
        <w:pStyle w:val="Heading2"/>
        <w:spacing w:before="120" w:after="60" w:line="360" w:lineRule="auto"/>
      </w:pPr>
      <w:r>
        <w:rPr>
          <w:rFonts w:ascii="Times New Roman" w:hAnsi="Times New Roman" w:eastAsia="黑体"/>
          <w:b/>
          <w:color w:val="000000"/>
          <w:sz w:val="21"/>
        </w:rPr>
        <w:t>4.2　形式化骨架体系</w:t>
      </w:r>
    </w:p>
    <w:p>
      <w:pPr>
        <w:spacing w:before="0" w:after="0" w:line="360" w:lineRule="auto"/>
        <w:ind w:firstLineChars="200"/>
      </w:pPr>
      <w:r>
        <w:rPr>
          <w:rFonts w:ascii="Times New Roman" w:hAnsi="Times New Roman" w:eastAsia="宋体"/>
          <w:b w:val="0"/>
          <w:color w:val="000000"/>
          <w:sz w:val="21"/>
        </w:rPr>
        <w:t>通道 A（BSD 公式路径）与通道 B（无条件保号路径）在 PStarOr 模块合流为单一定理：公式成立或无条件结构成立时，P* 成立。Main.lean 以六环文档链将论证收口：从秩 2 排除到 P* 收口、双通道、合流、延伸保号、GRH 退役，每环均有对应模块与编译记录。全部模块编译通过（exit 0），闭包审计报告随附。</w:t>
      </w:r>
    </w:p>
    <w:p>
      <w:pPr>
        <w:pStyle w:val="Heading2"/>
        <w:spacing w:before="120" w:after="60" w:line="360" w:lineRule="auto"/>
      </w:pPr>
      <w:r>
        <w:rPr>
          <w:rFonts w:ascii="Times New Roman" w:hAnsi="Times New Roman" w:eastAsia="黑体"/>
          <w:b/>
          <w:color w:val="000000"/>
          <w:sz w:val="21"/>
        </w:rPr>
        <w:t>4.3　理论降假设：GRH 退役</w:t>
      </w:r>
    </w:p>
    <w:p>
      <w:pPr>
        <w:spacing w:before="0" w:after="0" w:line="360" w:lineRule="auto"/>
        <w:ind w:firstLineChars="200"/>
      </w:pPr>
      <w:r>
        <w:rPr>
          <w:rFonts w:ascii="Times New Roman" w:hAnsi="Times New Roman" w:eastAsia="宋体"/>
          <w:b w:val="0"/>
          <w:color w:val="000000"/>
          <w:sz w:val="21"/>
        </w:rPr>
        <w:t>本项目关键的理论进展是 GRH 从 P* 的假设谱系退役。核心事实：区间 (1,3/2) 包含于 Re(s)&gt;1，而 Re(s)&gt;1 无零点是自守 L 理论的标准无条件定理——若 L(s₀)=0 且 Re s₀&gt;1，欧拉积在 Re(s)&gt;1 绝对收敛[6]，故某局部因子 1−α_v·q^{−s₀}=0，即 α_v=q^{s₀}，于是 |α_v|=q^{σ₀}&gt;q；这违反椭圆曲线情形的 Ramanujan 上界（Hasse 界，由 Deligne 在 Weil 猜想中证明[5]），矛盾。该论证只依赖模性、绝对收敛与 Hasse 界，全部为无条件定理。由此，通道 B 的保号论证不再需要 GRH；P* 对精细 BSD 公式与 GRH 双免疫，Sha 有限性从 P* 的依赖中消失（P* 只需要符号与秩，不需要公式等式）。</w:t>
      </w:r>
    </w:p>
    <w:p>
      <w:pPr>
        <w:pStyle w:val="Heading2"/>
        <w:spacing w:before="120" w:after="60" w:line="360" w:lineRule="auto"/>
      </w:pPr>
      <w:r>
        <w:rPr>
          <w:rFonts w:ascii="Times New Roman" w:hAnsi="Times New Roman" w:eastAsia="黑体"/>
          <w:b/>
          <w:color w:val="000000"/>
          <w:sz w:val="21"/>
        </w:rPr>
        <w:t>4.4　双向闭合</w:t>
      </w:r>
    </w:p>
    <w:p>
      <w:pPr>
        <w:spacing w:before="0" w:after="0" w:line="360" w:lineRule="auto"/>
        <w:ind w:firstLineChars="200"/>
      </w:pPr>
      <w:r>
        <w:rPr>
          <w:rFonts w:ascii="Times New Roman" w:hAnsi="Times New Roman" w:eastAsia="宋体"/>
          <w:b w:val="0"/>
          <w:color w:val="000000"/>
          <w:sz w:val="21"/>
        </w:rPr>
        <w:t>代数侧：R₂ 为 2×2 高度矩阵行列式，由高度配对正定得 R₂&gt;0（定理级，几何刚性）。解析侧：L″(E/K,1)&gt;0（实例已闭证，理论骨架待完整证明）。双向闭合意味着：一旦 L″(1)&gt;0 的理论证明完成，正性即源于“秩恰为 2”而非 regulator 崩溃——这是弱 BSD 秩 2 情形下解析与代数一致性的关键一环，也是本项目区分“秩 2 正性”与“regulator 退化”两类情形的判据。</w:t>
      </w:r>
    </w:p>
    <w:p>
      <w:pPr>
        <w:pStyle w:val="Heading2"/>
        <w:spacing w:before="120" w:after="60" w:line="360" w:lineRule="auto"/>
      </w:pPr>
      <w:r>
        <w:rPr>
          <w:rFonts w:ascii="Times New Roman" w:hAnsi="Times New Roman" w:eastAsia="黑体"/>
          <w:b/>
          <w:color w:val="000000"/>
          <w:sz w:val="21"/>
        </w:rPr>
        <w:t>4.5　推论 A 与推论 C</w:t>
      </w:r>
    </w:p>
    <w:p>
      <w:pPr>
        <w:spacing w:before="0" w:after="0" w:line="360" w:lineRule="auto"/>
        <w:ind w:firstLineChars="200"/>
      </w:pPr>
      <w:r>
        <w:rPr>
          <w:rFonts w:ascii="Times New Roman" w:hAnsi="Times New Roman" w:eastAsia="宋体"/>
          <w:b w:val="0"/>
          <w:color w:val="000000"/>
          <w:sz w:val="21"/>
        </w:rPr>
        <w:t>推论 C（函数方程延伸保号）：实系数函数方程 Λ(σ)=ε·Λ(2−σ) 将右半无零点区域延伸到 (1/2,3/2)∖{1}：左半的符号与零点由右半经根数 ε 拉回，其形式化已完成并通过闭包审计。推论 A（零点下界）：Hadamard 对数恒等式结合分量正性余量，给出最近非中心零点高度下界 γ₀ ≥ δ₀/√(exp(2(U+E))−1)，其中 δ₀ 为选定的实轴平移、U 与 E 为数值上界；其 Lean 骨架（ZeroGap 模块）已落盘，闭包审计确认仅含对象层与 Hadamard axiom，不含公式猜想与 GRH，完全独立于 P* 假设链。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color w:val="000000"/>
          <w:sz w:val="28"/>
        </w:rPr>
        <w:t>5　边界与局限</w:t>
      </w:r>
    </w:p>
    <w:p>
      <w:pPr>
        <w:spacing w:before="0" w:after="0" w:line="360" w:lineRule="auto"/>
        <w:ind w:firstLineChars="200"/>
      </w:pPr>
      <w:r>
        <w:rPr>
          <w:rFonts w:ascii="Times New Roman" w:hAnsi="Times New Roman" w:eastAsia="宋体"/>
          <w:b w:val="0"/>
          <w:color w:val="000000"/>
          <w:sz w:val="21"/>
        </w:rPr>
        <w:t>需要如实说明以下几点。其一，骨架不等于完整证明：通道 B 中 Kolyvagin 秩 1 非零、零自由区域、解析对象等以 axiom 挂账——它们在数学上是定理，但在 Lean 中因 mathlib 尚缺相应理论而挂账，属实现缺口而非数学缺口，未来可随库发展逐步消除。其二，P* 本身仍是猜想级命题：通道 A 依赖 4 条精细 BSD 公式 axiom，其未消部分即 Sha 有限性；本项目的贡献是把假设谱系从“公式猜想 + GRH”收窄到“公式猜想 ∨ 无条件结构”，而非消灭公式猜想。其三，实例闭证仅覆盖具体曲线，不构成理论推广；推论 A 的数值端（η 的具体数值）尚待数值管线补充固定档位；E⁵ 侧秩 2 曲线（(0,2) 型）的实例闭证也尚未完成。以上缺口均在项目记录中明示。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color w:val="000000"/>
          <w:sz w:val="28"/>
        </w:rPr>
        <w:t>6　意义与展望</w:t>
      </w:r>
    </w:p>
    <w:p>
      <w:pPr>
        <w:spacing w:before="0" w:after="0" w:line="360" w:lineRule="auto"/>
        <w:ind w:firstLineChars="200"/>
      </w:pPr>
      <w:r>
        <w:rPr>
          <w:rFonts w:ascii="Times New Roman" w:hAnsi="Times New Roman" w:eastAsia="宋体"/>
          <w:b w:val="0"/>
          <w:color w:val="000000"/>
          <w:sz w:val="21"/>
        </w:rPr>
        <w:t>本项目展示了收窄“正性证明”假设谱系的可行路径：从“公式猜想 + GRH”收窄到“无条件结构 + 数值数据”，每一步都有可复核的机器证据。方法论上，严格区间算术与定理证明器骨架的双轨结构，为算术几何中的猜想研究提供了一种证据可审计的工作方式：数值闭证回答“实例是否成立”，骨架闭包回答“论证依赖什么”。展望方面：一是推进推论 A 的数值端与实例扩展，使零点下界具备显式数值；二是逐步消除定理级挂账，依赖 mathlib 的发展；三是将骨架推向完整形式化证明。这些工作也为 Lean 社区贡献了算术几何形式化的实践案例，并可作为 AI 辅助形式化证明研究的一个具体样本。</w:t>
      </w:r>
    </w:p>
    <w:p>
      <w:pPr>
        <w:pStyle w:val="Heading1"/>
        <w:spacing w:before="240" w:after="120" w:line="360" w:lineRule="auto"/>
      </w:pPr>
      <w:r>
        <w:rPr>
          <w:rFonts w:ascii="Times New Roman" w:hAnsi="Times New Roman" w:eastAsia="黑体"/>
          <w:b/>
          <w:color w:val="000000"/>
          <w:sz w:val="28"/>
        </w:rPr>
        <w:t>参考文献</w:t>
      </w:r>
    </w:p>
    <w:p>
      <w:pPr>
        <w:spacing w:before="0" w:after="0" w:line="240" w:lineRule="auto"/>
        <w:ind w:leftChars="200" w:hangingChars="200"/>
      </w:pPr>
      <w:r>
        <w:rPr>
          <w:rFonts w:ascii="Times New Roman" w:hAnsi="Times New Roman" w:eastAsia="宋体"/>
          <w:b w:val="0"/>
          <w:color w:val="000000"/>
          <w:sz w:val="18"/>
        </w:rPr>
        <w:t>[1] BIRCH B J, SWINNERTON-DYER H P F. Notes on elliptic curves. II[J]. Journal für die reine und angewandte Mathematik, 1965, 218: 79-108.</w:t>
      </w:r>
    </w:p>
    <w:p>
      <w:pPr>
        <w:spacing w:before="0" w:after="0" w:line="240" w:lineRule="auto"/>
        <w:ind w:leftChars="200" w:hangingChars="200"/>
      </w:pPr>
      <w:r>
        <w:rPr>
          <w:rFonts w:ascii="Times New Roman" w:hAnsi="Times New Roman" w:eastAsia="宋体"/>
          <w:b w:val="0"/>
          <w:color w:val="000000"/>
          <w:sz w:val="18"/>
        </w:rPr>
        <w:t>[2] GROSS B H, ZAGIER D B. Heegner points and derivatives of L-series[J]. Inventiones mathematicae, 1986, 84(2): 225-320.</w:t>
      </w:r>
    </w:p>
    <w:p>
      <w:pPr>
        <w:spacing w:before="0" w:after="0" w:line="240" w:lineRule="auto"/>
        <w:ind w:leftChars="200" w:hangingChars="200"/>
      </w:pPr>
      <w:r>
        <w:rPr>
          <w:rFonts w:ascii="Times New Roman" w:hAnsi="Times New Roman" w:eastAsia="宋体"/>
          <w:b w:val="0"/>
          <w:color w:val="000000"/>
          <w:sz w:val="18"/>
        </w:rPr>
        <w:t>[3] KOLYVAGIN V A. Finiteness of E(Q) and Sha(E,Q) for a subclass of Weil curves[J]. Izvestiya Akademii Nauk SSSR, Seriya Matematicheskaya, 1988, 52(3): 522-540; Mathematics of the USSR-Izvestiya, 1989, 32(3): 523-541.</w:t>
      </w:r>
    </w:p>
    <w:p>
      <w:pPr>
        <w:spacing w:before="0" w:after="0" w:line="240" w:lineRule="auto"/>
        <w:ind w:leftChars="200" w:hangingChars="200"/>
      </w:pPr>
      <w:r>
        <w:rPr>
          <w:rFonts w:ascii="Times New Roman" w:hAnsi="Times New Roman" w:eastAsia="宋体"/>
          <w:b w:val="0"/>
          <w:color w:val="000000"/>
          <w:sz w:val="18"/>
        </w:rPr>
        <w:t>[4] WILES A. Modular elliptic curves and Fermat’s last theorem[J]. Annals of Mathematics, 1995, 141(3): 443-551; BREUIL C, CONRAD B, DIAMOND F, TAYLOR R. On the modularity of elliptic curves over Q: wild 3-adic exercises[J]. Journal of the American Mathematical Society, 2001, 14(4): 843-939.</w:t>
      </w:r>
    </w:p>
    <w:p>
      <w:pPr>
        <w:spacing w:before="0" w:after="0" w:line="240" w:lineRule="auto"/>
        <w:ind w:leftChars="200" w:hangingChars="200"/>
      </w:pPr>
      <w:r>
        <w:rPr>
          <w:rFonts w:ascii="Times New Roman" w:hAnsi="Times New Roman" w:eastAsia="宋体"/>
          <w:b w:val="0"/>
          <w:color w:val="000000"/>
          <w:sz w:val="18"/>
        </w:rPr>
        <w:t>[5] DELIGNE P. La conjecture de Weil. I[J]. Publications Mathématiques de l’IHÉS, 1974, 43: 273-307.</w:t>
      </w:r>
    </w:p>
    <w:p>
      <w:pPr>
        <w:spacing w:before="0" w:after="0" w:line="240" w:lineRule="auto"/>
        <w:ind w:leftChars="200" w:hangingChars="200"/>
      </w:pPr>
      <w:r>
        <w:rPr>
          <w:rFonts w:ascii="Times New Roman" w:hAnsi="Times New Roman" w:eastAsia="宋体"/>
          <w:b w:val="0"/>
          <w:color w:val="000000"/>
          <w:sz w:val="18"/>
        </w:rPr>
        <w:t>[6] GODEMENT R, JACQUET H. Zeta functions of simple algebras[M]. Lecture Notes in Mathematics 260. Berlin: Springer, 1972.</w:t>
      </w:r>
    </w:p>
    <w:p>
      <w:pPr>
        <w:spacing w:before="0" w:after="0" w:line="240" w:lineRule="auto"/>
        <w:ind w:leftChars="200" w:hangingChars="200"/>
      </w:pPr>
      <w:r>
        <w:rPr>
          <w:rFonts w:ascii="Times New Roman" w:hAnsi="Times New Roman" w:eastAsia="宋体"/>
          <w:b w:val="0"/>
          <w:color w:val="000000"/>
          <w:sz w:val="18"/>
        </w:rPr>
        <w:t>[7] CREMONA J E. Algorithms for modular elliptic curves[M]. 2nd ed. Cambridge: Cambridge University Press, 1997.</w:t>
      </w:r>
    </w:p>
    <w:p>
      <w:pPr>
        <w:spacing w:before="0" w:after="0" w:line="240" w:lineRule="auto"/>
        <w:ind w:leftChars="200" w:hangingChars="200"/>
      </w:pPr>
      <w:r>
        <w:rPr>
          <w:rFonts w:ascii="Times New Roman" w:hAnsi="Times New Roman" w:eastAsia="宋体"/>
          <w:b w:val="0"/>
          <w:color w:val="000000"/>
          <w:sz w:val="18"/>
        </w:rPr>
        <w:t>[8] The L-functions and Modular Forms Database (LMFDB)[EB/OL]. https://www.lmfdb.org.</w:t>
      </w:r>
    </w:p>
    <w:p>
      <w:pPr>
        <w:spacing w:before="0" w:after="0" w:line="240" w:lineRule="auto"/>
        <w:ind w:leftChars="200" w:hangingChars="200"/>
      </w:pPr>
      <w:r>
        <w:rPr>
          <w:rFonts w:ascii="Times New Roman" w:hAnsi="Times New Roman" w:eastAsia="宋体"/>
          <w:b w:val="0"/>
          <w:color w:val="000000"/>
          <w:sz w:val="18"/>
        </w:rPr>
        <w:t>[9] Birch and Swinnerton-Dyer Conjecture[EB/OL]. Clay Mathematics Institute. https://www.claymath.org/millennium/birch-and-swinnerton-dyer-conjecture/.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