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同城发艺项目人力资源计划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团队结构：项目经理、产品经理、技术专家、UE/UI设计师、测试专家</w:t>
      </w:r>
    </w:p>
    <w:tbl>
      <w:tblPr>
        <w:tblStyle w:val="2"/>
        <w:tblW w:w="90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"/>
        <w:gridCol w:w="1330"/>
        <w:gridCol w:w="668"/>
        <w:gridCol w:w="529"/>
        <w:gridCol w:w="2669"/>
        <w:gridCol w:w="30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726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3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66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52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266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307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72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李建辉</w:t>
            </w:r>
          </w:p>
        </w:tc>
        <w:tc>
          <w:tcPr>
            <w:tcW w:w="1330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668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529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669" w:type="dxa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3078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" w:hRule="atLeast"/>
        </w:trPr>
        <w:tc>
          <w:tcPr>
            <w:tcW w:w="72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康润芳</w:t>
            </w:r>
          </w:p>
        </w:tc>
        <w:tc>
          <w:tcPr>
            <w:tcW w:w="1330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668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529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669" w:type="dxa"/>
          </w:tcPr>
          <w:p>
            <w:r>
              <w:rPr>
                <w:rFonts w:hint="eastAsia"/>
              </w:rPr>
              <w:t>熟悉互联网和网购产品，了解用户特征，对产品品质要求高。同时也是产品提出者，资金引进者，兼有发起人特点。</w:t>
            </w:r>
          </w:p>
        </w:tc>
        <w:tc>
          <w:tcPr>
            <w:tcW w:w="3078" w:type="dxa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72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刘雪晴</w:t>
            </w:r>
          </w:p>
        </w:tc>
        <w:tc>
          <w:tcPr>
            <w:tcW w:w="1330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668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529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669" w:type="dxa"/>
          </w:tcPr>
          <w:p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3078" w:type="dxa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72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徐昌隆</w:t>
            </w:r>
          </w:p>
        </w:tc>
        <w:tc>
          <w:tcPr>
            <w:tcW w:w="13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668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529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669" w:type="dxa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3078" w:type="dxa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72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徐利媛</w:t>
            </w:r>
          </w:p>
        </w:tc>
        <w:tc>
          <w:tcPr>
            <w:tcW w:w="1330" w:type="dxa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668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529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669" w:type="dxa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3078" w:type="dxa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</w:tbl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97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kangrunfang</dc:creator>
  <cp:lastModifiedBy>kangrunfang</cp:lastModifiedBy>
  <dcterms:modified xsi:type="dcterms:W3CDTF">2019-05-05T07:36:06Z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