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李建辉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康润芳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刘雪晴</w:t>
      </w:r>
      <w:r>
        <w:rPr>
          <w:rFonts w:hint="eastAsia"/>
          <w:sz w:val="28"/>
          <w:szCs w:val="28"/>
        </w:rPr>
        <w:t>。有丰富的开发、设计经验，并多次成功带领技术团队完成互联网和电子软件</w:t>
      </w:r>
      <w:r>
        <w:rPr>
          <w:rFonts w:hint="eastAsia"/>
          <w:sz w:val="28"/>
          <w:szCs w:val="28"/>
          <w:lang w:val="en-US" w:eastAsia="zh-CN"/>
        </w:rPr>
        <w:t>产品</w:t>
      </w:r>
      <w:r>
        <w:rPr>
          <w:rFonts w:hint="eastAsia"/>
          <w:sz w:val="28"/>
          <w:szCs w:val="28"/>
        </w:rPr>
        <w:t>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徐昌隆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徐利媛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725679B"/>
    <w:rsid w:val="6424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17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kangrunfang</cp:lastModifiedBy>
  <dcterms:modified xsi:type="dcterms:W3CDTF">2019-03-19T09:11:08Z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