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前核心团队</w:t>
      </w:r>
      <w:r>
        <w:rPr>
          <w:rFonts w:hint="eastAsia"/>
          <w:sz w:val="28"/>
          <w:szCs w:val="28"/>
          <w:lang w:val="en-US" w:eastAsia="zh-CN"/>
        </w:rPr>
        <w:t>内部进行</w:t>
      </w:r>
      <w:r>
        <w:rPr>
          <w:rFonts w:hint="eastAsia"/>
          <w:sz w:val="28"/>
          <w:szCs w:val="28"/>
        </w:rPr>
        <w:t>沟通，确定合作模式和分工；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</w:t>
      </w:r>
      <w:r>
        <w:rPr>
          <w:rFonts w:hint="eastAsia"/>
          <w:sz w:val="28"/>
          <w:szCs w:val="28"/>
        </w:rPr>
        <w:t>5前完成第一版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3.27</w:t>
      </w:r>
      <w:r>
        <w:rPr>
          <w:rFonts w:hint="eastAsia"/>
          <w:sz w:val="28"/>
          <w:szCs w:val="28"/>
        </w:rPr>
        <w:t>前确定第一版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范围；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5-7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月：产品进入测试阶段（吸引尽可能广泛的商家和学生进行测试）；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71C4129"/>
    <w:rsid w:val="43602D09"/>
    <w:rsid w:val="4C792CE7"/>
    <w:rsid w:val="7D8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2019-03-22T04:17:19Z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