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理发店预约</w:t>
      </w:r>
      <w:r>
        <w:rPr>
          <w:rFonts w:hint="eastAsia"/>
        </w:rPr>
        <w:t>采购文件（投标邀请书）</w:t>
      </w:r>
    </w:p>
    <w:p/>
    <w:p/>
    <w:p/>
    <w:p/>
    <w:p/>
    <w:p/>
    <w:p/>
    <w:p/>
    <w:p/>
    <w:p/>
    <w:p/>
    <w:p/>
    <w:p/>
    <w:p/>
    <w:p/>
    <w:p/>
    <w:p/>
    <w:p/>
    <w:p/>
    <w:p>
      <w:pPr>
        <w:pStyle w:val="8"/>
      </w:pPr>
      <w:r>
        <w:rPr>
          <w:rFonts w:hint="eastAsia"/>
        </w:rPr>
        <w:t>XX工作室</w:t>
      </w:r>
    </w:p>
    <w:p>
      <w:pPr>
        <w:pStyle w:val="8"/>
        <w:rPr>
          <w:rFonts w:hint="default" w:eastAsia="宋体"/>
          <w:lang w:val="en-US" w:eastAsia="zh-CN"/>
        </w:rPr>
      </w:pPr>
      <w:r>
        <w:t>201</w:t>
      </w:r>
      <w:r>
        <w:rPr>
          <w:rFonts w:hint="eastAsia"/>
          <w:lang w:val="en-US" w:eastAsia="zh-CN"/>
        </w:rPr>
        <w:t>9</w:t>
      </w:r>
      <w:r>
        <w:t>-</w:t>
      </w:r>
      <w:r>
        <w:rPr>
          <w:rFonts w:hint="eastAsia"/>
          <w:lang w:val="en-US" w:eastAsia="zh-CN"/>
        </w:rPr>
        <w:t>6</w:t>
      </w:r>
      <w:r>
        <w:t>-</w:t>
      </w:r>
      <w:r>
        <w:rPr>
          <w:rFonts w:hint="eastAsia"/>
          <w:lang w:val="en-US" w:eastAsia="zh-CN"/>
        </w:rPr>
        <w:t>17</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理发店预约</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理发店预约</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numPr>
          <w:ilvl w:val="0"/>
          <w:numId w:val="5"/>
        </w:numPr>
        <w:rPr>
          <w:rFonts w:hint="eastAsia"/>
          <w:sz w:val="28"/>
          <w:szCs w:val="28"/>
          <w:lang w:val="en-US" w:eastAsia="zh-CN"/>
        </w:rPr>
      </w:pPr>
      <w:r>
        <w:rPr>
          <w:rFonts w:hint="eastAsia"/>
          <w:sz w:val="28"/>
          <w:szCs w:val="28"/>
          <w:lang w:val="en-US" w:eastAsia="zh-CN"/>
        </w:rPr>
        <w:t>当今的时代，时间是我们很重要的东西，没有人愿意消耗时间做没有意义的事；</w:t>
      </w:r>
    </w:p>
    <w:p>
      <w:pPr>
        <w:numPr>
          <w:ilvl w:val="0"/>
          <w:numId w:val="5"/>
        </w:numPr>
        <w:rPr>
          <w:rFonts w:hint="eastAsia"/>
          <w:sz w:val="28"/>
          <w:szCs w:val="28"/>
          <w:lang w:val="en-US" w:eastAsia="zh-CN"/>
        </w:rPr>
      </w:pPr>
      <w:r>
        <w:rPr>
          <w:rFonts w:hint="eastAsia"/>
          <w:sz w:val="28"/>
          <w:szCs w:val="28"/>
          <w:lang w:val="en-US" w:eastAsia="zh-CN"/>
        </w:rPr>
        <w:t>我们去理发店的时候，因为不知道理发店的状况，经常需要等待很长时间，让用户体验不好；</w:t>
      </w:r>
    </w:p>
    <w:p>
      <w:pPr>
        <w:widowControl/>
        <w:spacing w:line="360" w:lineRule="auto"/>
        <w:rPr>
          <w:b/>
          <w:sz w:val="28"/>
          <w:szCs w:val="28"/>
        </w:rPr>
      </w:pPr>
      <w:r>
        <w:rPr>
          <w:rFonts w:hint="eastAsia"/>
          <w:b/>
          <w:sz w:val="28"/>
          <w:szCs w:val="28"/>
        </w:rPr>
        <w:t>项目目标</w:t>
      </w:r>
    </w:p>
    <w:p>
      <w:pPr>
        <w:widowControl/>
        <w:spacing w:line="360" w:lineRule="auto"/>
        <w:ind w:firstLine="420" w:firstLineChars="0"/>
        <w:rPr>
          <w:rFonts w:hint="default"/>
          <w:sz w:val="28"/>
          <w:szCs w:val="28"/>
          <w:lang w:val="en-US" w:eastAsia="zh-CN"/>
        </w:rPr>
      </w:pPr>
      <w:r>
        <w:rPr>
          <w:rFonts w:hint="eastAsia"/>
          <w:sz w:val="28"/>
          <w:szCs w:val="28"/>
          <w:lang w:val="en-US" w:eastAsia="zh-CN"/>
        </w:rPr>
        <w:t>为客户打造良好节省时间的服务。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w:t>
      </w:r>
      <w:r>
        <w:rPr>
          <w:rFonts w:hint="eastAsia"/>
          <w:sz w:val="28"/>
          <w:szCs w:val="28"/>
          <w:lang w:val="en-US" w:eastAsia="zh-CN"/>
        </w:rPr>
        <w:t>入驻，发布理发信息；</w:t>
      </w:r>
    </w:p>
    <w:p>
      <w:pPr>
        <w:pStyle w:val="20"/>
        <w:widowControl/>
        <w:numPr>
          <w:ilvl w:val="1"/>
          <w:numId w:val="2"/>
        </w:numPr>
        <w:spacing w:line="360" w:lineRule="auto"/>
        <w:ind w:firstLineChars="0"/>
        <w:rPr>
          <w:sz w:val="28"/>
          <w:szCs w:val="28"/>
        </w:rPr>
      </w:pPr>
      <w:r>
        <w:rPr>
          <w:rFonts w:hint="eastAsia"/>
          <w:sz w:val="28"/>
          <w:szCs w:val="28"/>
          <w:lang w:val="en-US" w:eastAsia="zh-CN"/>
        </w:rPr>
        <w:t>用户：查看理发师时间安排并预约</w:t>
      </w:r>
    </w:p>
    <w:p>
      <w:pPr>
        <w:pStyle w:val="20"/>
        <w:widowControl/>
        <w:numPr>
          <w:ilvl w:val="1"/>
          <w:numId w:val="2"/>
        </w:numPr>
        <w:spacing w:line="360" w:lineRule="auto"/>
        <w:ind w:left="1275" w:leftChars="0" w:hanging="855" w:firstLineChars="0"/>
        <w:rPr>
          <w:sz w:val="28"/>
          <w:szCs w:val="28"/>
        </w:rPr>
      </w:pPr>
      <w:r>
        <w:rPr>
          <w:rFonts w:hint="eastAsia"/>
          <w:sz w:val="28"/>
          <w:szCs w:val="28"/>
        </w:rPr>
        <w:t>管理员功能：商家审核、广告管理、活动安排、分析数据；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支持至少100家商户入住</w:t>
      </w:r>
      <w:r>
        <w:rPr>
          <w:rFonts w:hint="eastAsia"/>
          <w:sz w:val="28"/>
          <w:szCs w:val="28"/>
          <w:lang w:eastAsia="zh-CN"/>
        </w:rPr>
        <w:t>；</w:t>
      </w:r>
    </w:p>
    <w:p>
      <w:pPr>
        <w:pStyle w:val="20"/>
        <w:numPr>
          <w:ilvl w:val="0"/>
          <w:numId w:val="6"/>
        </w:numPr>
        <w:ind w:firstLineChars="0"/>
        <w:rPr>
          <w:sz w:val="28"/>
          <w:szCs w:val="28"/>
        </w:rPr>
      </w:pPr>
      <w:r>
        <w:rPr>
          <w:rFonts w:hint="eastAsia"/>
          <w:sz w:val="28"/>
          <w:szCs w:val="28"/>
        </w:rPr>
        <w:t>支持至少2000名</w:t>
      </w:r>
      <w:r>
        <w:rPr>
          <w:rFonts w:hint="eastAsia"/>
          <w:sz w:val="28"/>
          <w:szCs w:val="28"/>
          <w:lang w:val="en-US" w:eastAsia="zh-CN"/>
        </w:rPr>
        <w:t>用户</w:t>
      </w:r>
      <w:r>
        <w:rPr>
          <w:rFonts w:hint="eastAsia"/>
          <w:sz w:val="28"/>
          <w:szCs w:val="28"/>
        </w:rPr>
        <w:t>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bookmarkStart w:id="0" w:name="_GoBack"/>
      <w:bookmarkEnd w:id="0"/>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203349C"/>
    <w:multiLevelType w:val="singleLevel"/>
    <w:tmpl w:val="6203349C"/>
    <w:lvl w:ilvl="0" w:tentative="0">
      <w:start w:val="1"/>
      <w:numFmt w:val="decimal"/>
      <w:lvlText w:val="%1."/>
      <w:lvlJc w:val="left"/>
      <w:pPr>
        <w:tabs>
          <w:tab w:val="left" w:pos="312"/>
        </w:tabs>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40187833"/>
    <w:rsid w:val="4E8D0000"/>
    <w:rsid w:val="4EAA1591"/>
    <w:rsid w:val="66C37FC5"/>
    <w:rsid w:val="763B7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Hyperlink"/>
    <w:basedOn w:val="13"/>
    <w:unhideWhenUsed/>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uiPriority w:val="0"/>
    <w:rPr>
      <w:rFonts w:ascii="宋体" w:hAnsi="宋体" w:eastAsia="宋体" w:cs="宋体"/>
      <w:kern w:val="0"/>
      <w:sz w:val="24"/>
      <w:szCs w:val="24"/>
    </w:rPr>
  </w:style>
  <w:style w:type="character" w:customStyle="1" w:styleId="23">
    <w:name w:val="正文文本缩进 2 Char"/>
    <w:basedOn w:val="13"/>
    <w:link w:val="4"/>
    <w:qFormat/>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3</TotalTime>
  <ScaleCrop>false</ScaleCrop>
  <LinksUpToDate>false</LinksUpToDate>
  <CharactersWithSpaces>3965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以后的路╮我想陪迩一起走</cp:lastModifiedBy>
  <dcterms:modified xsi:type="dcterms:W3CDTF">2019-06-17T06:19:59Z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