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时间心理账户研究述评概念机制与应用场景"/>
    <w:p>
      <w:pPr>
        <w:pStyle w:val="10"/>
      </w:pPr>
      <w:r>
        <w:rPr>
          <w:rFonts w:hint="eastAsia"/>
        </w:rPr>
        <w:t xml:space="preserve">时间心理账户研究述评：概念、机制与应用场景</w:t>
      </w:r>
    </w:p>
    <w:p>
      <w:pPr>
        <w:pStyle w:val="FirstParagraph"/>
      </w:pPr>
      <w:r>
        <w:rPr>
          <w:rFonts w:hint="eastAsia"/>
          <w:b/>
          <w:bCs/>
        </w:rPr>
        <w:t xml:space="preserve">摘要：</w:t>
      </w:r>
      <w:r>
        <w:rPr>
          <w:rFonts w:hint="eastAsia"/>
        </w:rPr>
        <w:t xml:space="preserve">时间心理账户是指个体像管理金钱一样，对时间进行分类、预算、编码和评价的心理过程。与“时间就是金钱”的直观说法不同，现有研究表明，时间既具有资源属性，也具有强烈的情境性和主观价值差异。本文基于给定文献，对时间心理账户的核心概念、与金钱心理账户的差异、典型行为机制及其在等待、消费和出行情境中的应用进行简要综述。综合来看，时间心理账户能够较好解释工作与休闲配置、等待耐受、广告跳过、出行选择等行为，但其作用边界仍受文化规范、平台环境和任务性质影响。文章最后从研究设计与实践应用两方面提出进一步展望。</w:t>
      </w:r>
    </w:p>
    <w:p>
      <w:pPr>
        <w:pStyle w:val="a0"/>
      </w:pPr>
      <w:r>
        <w:rPr>
          <w:rFonts w:hint="eastAsia"/>
          <w:b/>
          <w:bCs/>
        </w:rPr>
        <w:t xml:space="preserve">关键词：</w:t>
      </w:r>
      <w:r>
        <w:rPr>
          <w:rFonts w:hint="eastAsia"/>
        </w:rPr>
        <w:t xml:space="preserve">时间心理账户；行为决策；时间价值；等待决策；出行选择</w:t>
      </w:r>
    </w:p>
    <w:bookmarkEnd w:id="19"/>
    <w:bookmarkStart w:id="20" w:name="引言"/>
    <w:p>
      <w:pPr>
        <w:pStyle w:val="10"/>
      </w:pPr>
      <w:r>
        <w:t xml:space="preserve">1 </w:t>
      </w:r>
      <w:r>
        <w:rPr>
          <w:rFonts w:hint="eastAsia"/>
        </w:rPr>
        <w:t xml:space="preserve">引言</w:t>
      </w:r>
    </w:p>
    <w:p>
      <w:pPr>
        <w:pStyle w:val="FirstParagraph"/>
      </w:pPr>
      <w:r>
        <w:rPr>
          <w:rFonts w:hint="eastAsia"/>
        </w:rPr>
        <w:t xml:space="preserve">在传统经济分析中，时间常被视为均质且可换算的稀缺资源；但在现实决策中，人们对“半小时通勤”“十分钟排队”或“周末两小时加班”的感受并不相同。时间不仅被计算，更会被赋予用途标签、情绪色彩和参照点意义。Rajagopal</w:t>
      </w:r>
      <w:r>
        <w:t xml:space="preserve"> </w:t>
      </w:r>
      <w:r>
        <w:rPr>
          <w:rFonts w:hint="eastAsia"/>
        </w:rPr>
        <w:t xml:space="preserve">与</w:t>
      </w:r>
      <w:r>
        <w:t xml:space="preserve"> Rha </w:t>
      </w:r>
      <w:r>
        <w:rPr>
          <w:rFonts w:hint="eastAsia"/>
        </w:rPr>
        <w:t xml:space="preserve">通过五项研究指出，个体确实会像处理金钱一样为时间建立心理账户，并努力在工作与非工作活动之间维持主观平衡</w:t>
      </w:r>
      <w:r>
        <w:rPr>
          <w:vertAlign w:val="superscript"/>
        </w:rPr>
        <w:t xml:space="preserve">[</w:t>
      </w:r>
      <w:hyperlink w:anchor="ref-Rajagopal2009">
        <w:r>
          <w:rPr>
            <w:rStyle w:val="ae"/>
            <w:vertAlign w:val="superscript"/>
          </w:rPr>
          <w:t xml:space="preserve">1</w:t>
        </w:r>
      </w:hyperlink>
      <w:r>
        <w:rPr>
          <w:vertAlign w:val="superscript"/>
        </w:rPr>
        <w:t xml:space="preserve">]</w:t>
      </w:r>
      <w:r>
        <w:rPr>
          <w:rFonts w:hint="eastAsia"/>
        </w:rPr>
        <w:t xml:space="preserve">。这意味着时间不是单纯的客观约束，而是会被编码为“值得投入”“不得不耗费”或“应该补偿”的主观资源。国内研究进一步指出，时间心理账户具有非替代性、灵活性、心理预算、损失规避、禀赋效应和沉没成本效应等特征</w:t>
      </w:r>
      <w:r>
        <w:rPr>
          <w:vertAlign w:val="superscript"/>
        </w:rPr>
        <w:t xml:space="preserve">[</w:t>
      </w:r>
      <w:hyperlink w:anchor="ref-WeiYongGang2023">
        <w:r>
          <w:rPr>
            <w:rStyle w:val="ae"/>
            <w:vertAlign w:val="superscript"/>
          </w:rPr>
          <w:t xml:space="preserve">2</w:t>
        </w:r>
      </w:hyperlink>
      <w:r>
        <w:rPr>
          <w:vertAlign w:val="superscript"/>
        </w:rPr>
        <w:t xml:space="preserve">]</w:t>
      </w:r>
      <w:r>
        <w:rPr>
          <w:rFonts w:hint="eastAsia"/>
        </w:rPr>
        <w:t xml:space="preserve">。因此，时间心理账户既承接了心理账户理论关于分类与编码的基本思想，也因为时间不可储存、不可回收、与活动过程紧密绑定，而呈现出不同于金钱账户的独特性</w:t>
      </w:r>
      <w:r>
        <w:rPr>
          <w:vertAlign w:val="superscript"/>
        </w:rPr>
        <w:t xml:space="preserve">[</w:t>
      </w:r>
      <w:hyperlink w:anchor="ref-ZhangJunWei2010">
        <w:r>
          <w:rPr>
            <w:rStyle w:val="ae"/>
            <w:vertAlign w:val="superscript"/>
          </w:rPr>
          <w:t xml:space="preserve">3</w:t>
        </w:r>
      </w:hyperlink>
      <w:r>
        <w:rPr>
          <w:vertAlign w:val="superscript"/>
        </w:rPr>
        <w:t xml:space="preserve">]</w:t>
      </w:r>
      <w:r>
        <w:rPr>
          <w:rFonts w:hint="eastAsia"/>
        </w:rPr>
        <w:t xml:space="preserve">。这一点正是其学术价值所在。</w:t>
      </w:r>
    </w:p>
    <w:bookmarkEnd w:id="20"/>
    <w:bookmarkStart w:id="27" w:name="理论基础与核心机制"/>
    <w:p>
      <w:pPr>
        <w:pStyle w:val="10"/>
      </w:pPr>
      <w:r>
        <w:t xml:space="preserve">2 </w:t>
      </w:r>
      <w:r>
        <w:rPr>
          <w:rFonts w:hint="eastAsia"/>
        </w:rPr>
        <w:t xml:space="preserve">理论基础与核心机制</w:t>
      </w:r>
    </w:p>
    <w:bookmarkStart w:id="21" w:name="时间账户如何形成"/>
    <w:p>
      <w:pPr>
        <w:pStyle w:val="20"/>
      </w:pPr>
      <w:r>
        <w:t xml:space="preserve">2.1 </w:t>
      </w:r>
      <w:r>
        <w:rPr>
          <w:rFonts w:hint="eastAsia"/>
        </w:rPr>
        <w:t xml:space="preserve">时间账户如何形成</w:t>
      </w:r>
    </w:p>
    <w:p>
      <w:pPr>
        <w:pStyle w:val="FirstParagraph"/>
      </w:pPr>
      <w:r>
        <w:rPr>
          <w:rFonts w:hint="eastAsia"/>
        </w:rPr>
        <w:t xml:space="preserve">时间心理账户的基本逻辑可以概括为“分类</w:t>
      </w:r>
      <w:r>
        <w:t xml:space="preserve"> - </w:t>
      </w:r>
      <w:r>
        <w:rPr>
          <w:rFonts w:hint="eastAsia"/>
        </w:rPr>
        <w:t xml:space="preserve">预算</w:t>
      </w:r>
      <w:r>
        <w:t xml:space="preserve"> - </w:t>
      </w:r>
      <w:r>
        <w:rPr>
          <w:rFonts w:hint="eastAsia"/>
        </w:rPr>
        <w:t xml:space="preserve">比较</w:t>
      </w:r>
      <w:r>
        <w:t xml:space="preserve"> - </w:t>
      </w:r>
      <w:r>
        <w:rPr>
          <w:rFonts w:hint="eastAsia"/>
        </w:rPr>
        <w:t xml:space="preserve">调整”。个体先按活动类型给时间贴标签，例如工作时间、家庭时间、休闲时间，再为各账户设定主观预算；一旦实际投入偏离预算，就会出现补偿、后悔或防御性合理化。Rajagopal</w:t>
      </w:r>
      <w:r>
        <w:t xml:space="preserve"> </w:t>
      </w:r>
      <w:r>
        <w:rPr>
          <w:rFonts w:hint="eastAsia"/>
        </w:rPr>
        <w:t xml:space="preserve">与</w:t>
      </w:r>
      <w:r>
        <w:t xml:space="preserve"> Rha </w:t>
      </w:r>
      <w:r>
        <w:rPr>
          <w:rFonts w:hint="eastAsia"/>
        </w:rPr>
        <w:t xml:space="preserve">认为，人们尤其会在工作与非工作账户之间追求一种可接受的心理平衡</w:t>
      </w:r>
      <w:r>
        <w:rPr>
          <w:vertAlign w:val="superscript"/>
        </w:rPr>
        <w:t xml:space="preserve">[</w:t>
      </w:r>
      <w:hyperlink w:anchor="ref-Rajagopal2009">
        <w:r>
          <w:rPr>
            <w:rStyle w:val="ae"/>
            <w:vertAlign w:val="superscript"/>
          </w:rPr>
          <w:t xml:space="preserve">1</w:t>
        </w:r>
      </w:hyperlink>
      <w:r>
        <w:rPr>
          <w:vertAlign w:val="superscript"/>
        </w:rPr>
        <w:t xml:space="preserve">]</w:t>
      </w:r>
      <w:r>
        <w:rPr>
          <w:rFonts w:hint="eastAsia"/>
        </w:rPr>
        <w:t xml:space="preserve">。这一平衡并非严格的客观等量，而是基于角色义务、当下情绪和社会规范的综合判断。</w:t>
      </w:r>
    </w:p>
    <w:p>
      <w:pPr>
        <w:pStyle w:val="a0"/>
      </w:pPr>
      <w:r>
        <w:rPr>
          <w:rFonts w:hint="eastAsia"/>
        </w:rPr>
        <w:t xml:space="preserve">若将时间账户写成一个简化的行为表达式，可表示为：</w:t>
      </w:r>
    </w:p>
    <w:p>
      <w:pPr>
        <w:pStyle w:val="a0"/>
      </w:pPr>
      <m:oMathPara>
        <m:oMathParaPr>
          <m:jc m:val="center"/>
        </m:oMathParaPr>
        <m:oMath>
          <m:r>
            <m:t>U</m:t>
          </m:r>
          <m:r>
            <m:rPr>
              <m:sty m:val="p"/>
            </m:rPr>
            <m:t>=</m:t>
          </m:r>
          <m:r>
            <m:t>v</m:t>
          </m:r>
          <m:r>
            <m:rPr>
              <m:sty m:val="p"/>
            </m:rPr>
            <m:t>(</m:t>
          </m:r>
          <m:sSub>
            <m:e>
              <m:r>
                <m:t>T</m:t>
              </m:r>
            </m:e>
            <m:sub>
              <m:r>
                <m:t>i</m:t>
              </m:r>
            </m:sub>
          </m:sSub>
          <m:r>
            <m:rPr>
              <m:sty m:val="p"/>
            </m:rPr>
            <m:t>−</m:t>
          </m:r>
          <m:sSub>
            <m:e>
              <m:r>
                <m:t>B</m:t>
              </m:r>
            </m:e>
            <m:sub>
              <m:r>
                <m:t>i</m:t>
              </m:r>
            </m:sub>
          </m:sSub>
          <m:r>
            <m:rPr>
              <m:sty m:val="p"/>
            </m:rPr>
            <m:t>)</m:t>
          </m:r>
          <m:r>
            <m:rPr>
              <m:sty m:val="p"/>
            </m:rPr>
            <m:t>−</m:t>
          </m:r>
          <m:r>
            <m:t>λ</m:t>
          </m:r>
          <m:r>
            <m:rPr>
              <m:sty m:val="p"/>
            </m:rPr>
            <m:t>max</m:t>
          </m:r>
          <m:r>
            <m:rPr>
              <m:sty m:val="p"/>
            </m:rPr>
            <m:t>(</m:t>
          </m:r>
          <m:r>
            <m:t>0</m:t>
          </m:r>
          <m:r>
            <m:rPr>
              <m:sty m:val="p"/>
            </m:rPr>
            <m:t>,</m:t>
          </m:r>
          <m:sSub>
            <m:e>
              <m:r>
                <m:t>B</m:t>
              </m:r>
            </m:e>
            <m:sub>
              <m:r>
                <m:t>i</m:t>
              </m:r>
            </m:sub>
          </m:sSub>
          <m:r>
            <m:rPr>
              <m:sty m:val="p"/>
            </m:rPr>
            <m:t>−</m:t>
          </m:r>
          <m:sSub>
            <m:e>
              <m:r>
                <m:t>T</m:t>
              </m:r>
            </m:e>
            <m:sub>
              <m:r>
                <m:t>i</m:t>
              </m:r>
            </m:sub>
          </m:sSub>
          <m:r>
            <m:rPr>
              <m:sty m:val="p"/>
            </m:rPr>
            <m:t>)</m:t>
          </m:r>
          <m:r>
            <m:rPr>
              <m:sty m:val="p"/>
            </m:rPr>
            <m:t>,</m:t>
          </m:r>
        </m:oMath>
      </m:oMathPara>
    </w:p>
    <w:p>
      <w:pPr>
        <w:pStyle w:val="FirstParagraph"/>
      </w:pPr>
      <w:r>
        <w:rPr>
          <w:rFonts w:hint="eastAsia"/>
        </w:rPr>
        <w:t xml:space="preserve">其中，</w:t>
      </w:r>
      <m:oMath>
        <m:sSub>
          <m:e>
            <m:r>
              <m:t>T</m:t>
            </m:r>
          </m:e>
          <m:sub>
            <m:r>
              <m:t>i</m:t>
            </m:r>
          </m:sub>
        </m:sSub>
      </m:oMath>
      <w:r>
        <w:t xml:space="preserve"> </w:t>
      </w:r>
      <w:r>
        <w:rPr>
          <w:rFonts w:hint="eastAsia"/>
        </w:rPr>
        <w:t xml:space="preserve">表示账户</w:t>
      </w:r>
      <w:r>
        <w:t xml:space="preserve"> </w:t>
      </w:r>
      <m:oMath>
        <m:r>
          <m:t>i</m:t>
        </m:r>
      </m:oMath>
      <w:r>
        <w:t xml:space="preserve"> </w:t>
      </w:r>
      <w:r>
        <w:rPr>
          <w:rFonts w:hint="eastAsia"/>
        </w:rPr>
        <w:t xml:space="preserve">的实际时间投入，</w:t>
      </w:r>
      <m:oMath>
        <m:sSub>
          <m:e>
            <m:r>
              <m:t>B</m:t>
            </m:r>
          </m:e>
          <m:sub>
            <m:r>
              <m:t>i</m:t>
            </m:r>
          </m:sub>
        </m:sSub>
      </m:oMath>
      <w:r>
        <w:t xml:space="preserve"> </w:t>
      </w:r>
      <w:r>
        <w:rPr>
          <w:rFonts w:hint="eastAsia"/>
        </w:rPr>
        <w:t xml:space="preserve">表示主观预算，</w:t>
      </w:r>
      <m:oMath>
        <m:r>
          <m:t>v</m:t>
        </m:r>
        <m:r>
          <m:rPr>
            <m:sty m:val="p"/>
          </m:rPr>
          <m:t>(</m:t>
        </m:r>
        <m:r>
          <m:rPr>
            <m:sty m:val="p"/>
          </m:rPr>
          <m:t>⋅</m:t>
        </m:r>
        <m:r>
          <m:rPr>
            <m:sty m:val="p"/>
          </m:rPr>
          <m:t>)</m:t>
        </m:r>
      </m:oMath>
      <w:r>
        <w:t xml:space="preserve"> </w:t>
      </w:r>
      <w:r>
        <w:rPr>
          <w:rFonts w:hint="eastAsia"/>
        </w:rPr>
        <w:t xml:space="preserve">表示偏离预算后的主观价值，</w:t>
      </w:r>
      <m:oMath>
        <m:r>
          <m:t>λ</m:t>
        </m:r>
        <m:r>
          <m:rPr>
            <m:sty m:val="p"/>
          </m:rPr>
          <m:t>&gt;</m:t>
        </m:r>
        <m:r>
          <m:t>1</m:t>
        </m:r>
      </m:oMath>
      <w:r>
        <w:t xml:space="preserve"> </w:t>
      </w:r>
      <w:r>
        <w:rPr>
          <w:rFonts w:hint="eastAsia"/>
        </w:rPr>
        <w:t xml:space="preserve">表示时间损失相对更敏感的损失规避参数。这个写法并非对某一篇文献的直接复制，而是对时间预算、参照点和损失规避思想的综合表达，和前景理论及出行时间-成本建模的思路一致</w:t>
      </w:r>
      <w:r>
        <w:rPr>
          <w:vertAlign w:val="superscript"/>
        </w:rPr>
        <w:t xml:space="preserve">[</w:t>
      </w:r>
      <w:hyperlink w:anchor="ref-Tversky1981">
        <w:r>
          <w:rPr>
            <w:rStyle w:val="ae"/>
            <w:vertAlign w:val="superscript"/>
          </w:rPr>
          <w:t xml:space="preserve">4</w:t>
        </w:r>
      </w:hyperlink>
      <w:r>
        <w:rPr>
          <w:vertAlign w:val="superscript"/>
        </w:rPr>
        <w:t xml:space="preserve">,</w:t>
      </w:r>
      <w:hyperlink w:anchor="ref-Liu2021">
        <w:r>
          <w:rPr>
            <w:rStyle w:val="ae"/>
            <w:vertAlign w:val="superscript"/>
          </w:rPr>
          <w:t xml:space="preserve">5</w:t>
        </w:r>
      </w:hyperlink>
      <w:r>
        <w:rPr>
          <w:vertAlign w:val="superscript"/>
        </w:rPr>
        <w:t xml:space="preserve">]</w:t>
      </w:r>
      <w:r>
        <w:t xml:space="preserve">。</w:t>
      </w:r>
    </w:p>
    <w:bookmarkEnd w:id="21"/>
    <w:bookmarkStart w:id="22" w:name="时间为何不同于金钱"/>
    <w:p>
      <w:pPr>
        <w:pStyle w:val="20"/>
      </w:pPr>
      <w:r>
        <w:t xml:space="preserve">2.2 </w:t>
      </w:r>
      <w:r>
        <w:rPr>
          <w:rFonts w:hint="eastAsia"/>
        </w:rPr>
        <w:t xml:space="preserve">时间为何不同于金钱</w:t>
      </w:r>
    </w:p>
    <w:p>
      <w:pPr>
        <w:pStyle w:val="FirstParagraph"/>
      </w:pPr>
      <w:r>
        <w:rPr>
          <w:rFonts w:hint="eastAsia"/>
        </w:rPr>
        <w:t xml:space="preserve">“时间是否像金钱一样被决策者处理”是该领域的关键问题。已有综述表明，二者在风险偏好、判断依据、沉没成本和禀赋效应上存在系统差异</w:t>
      </w:r>
      <w:r>
        <w:rPr>
          <w:vertAlign w:val="superscript"/>
        </w:rPr>
        <w:t xml:space="preserve">[</w:t>
      </w:r>
      <w:hyperlink w:anchor="ref-ZhangJunWei2010">
        <w:r>
          <w:rPr>
            <w:rStyle w:val="ae"/>
            <w:vertAlign w:val="superscript"/>
          </w:rPr>
          <w:t xml:space="preserve">3</w:t>
        </w:r>
      </w:hyperlink>
      <w:r>
        <w:rPr>
          <w:vertAlign w:val="superscript"/>
        </w:rPr>
        <w:t xml:space="preserve">]</w:t>
      </w:r>
      <w:r>
        <w:t xml:space="preserve">。Saini </w:t>
      </w:r>
      <w:r>
        <w:rPr>
          <w:rFonts w:hint="eastAsia"/>
        </w:rPr>
        <w:t xml:space="preserve">与</w:t>
      </w:r>
      <w:r>
        <w:t xml:space="preserve"> Monga </w:t>
      </w:r>
      <w:r>
        <w:rPr>
          <w:rFonts w:hint="eastAsia"/>
        </w:rPr>
        <w:t xml:space="preserve">发现，当决策对象是时间而非金钱时，个体更容易使用启发式判断</w:t>
      </w:r>
      <w:r>
        <w:rPr>
          <w:vertAlign w:val="superscript"/>
        </w:rPr>
        <w:t xml:space="preserve">[</w:t>
      </w:r>
      <w:hyperlink w:anchor="ref-Saini2008">
        <w:r>
          <w:rPr>
            <w:rStyle w:val="ae"/>
            <w:vertAlign w:val="superscript"/>
          </w:rPr>
          <w:t xml:space="preserve">6</w:t>
        </w:r>
      </w:hyperlink>
      <w:r>
        <w:rPr>
          <w:vertAlign w:val="superscript"/>
        </w:rPr>
        <w:t xml:space="preserve">]</w:t>
      </w:r>
      <w:r>
        <w:rPr>
          <w:rFonts w:hint="eastAsia"/>
        </w:rPr>
        <w:t xml:space="preserve">；Okada</w:t>
      </w:r>
      <w:r>
        <w:t xml:space="preserve"> </w:t>
      </w:r>
      <w:r>
        <w:rPr>
          <w:rFonts w:hint="eastAsia"/>
        </w:rPr>
        <w:t xml:space="preserve">与</w:t>
      </w:r>
      <w:r>
        <w:t xml:space="preserve"> Hoch </w:t>
      </w:r>
      <w:r>
        <w:rPr>
          <w:rFonts w:hint="eastAsia"/>
        </w:rPr>
        <w:t xml:space="preserve">则指出，时间支出与金钱支出会触发不同的权衡路径</w:t>
      </w:r>
      <w:r>
        <w:rPr>
          <w:vertAlign w:val="superscript"/>
        </w:rPr>
        <w:t xml:space="preserve">[</w:t>
      </w:r>
      <w:hyperlink w:anchor="ref-Okada2004">
        <w:r>
          <w:rPr>
            <w:rStyle w:val="ae"/>
            <w:vertAlign w:val="superscript"/>
          </w:rPr>
          <w:t xml:space="preserve">7</w:t>
        </w:r>
      </w:hyperlink>
      <w:r>
        <w:rPr>
          <w:vertAlign w:val="superscript"/>
        </w:rPr>
        <w:t xml:space="preserve">]</w:t>
      </w:r>
      <w:r>
        <w:rPr>
          <w:rFonts w:hint="eastAsia"/>
        </w:rPr>
        <w:t xml:space="preserve">。换言之，时间更容易与过程体验绑定，而金钱更容易与结果核算绑定。</w:t>
      </w:r>
    </w:p>
    <w:p>
      <w:pPr>
        <w:pStyle w:val="a0"/>
      </w:pPr>
      <w:r>
        <w:t xml:space="preserve">Leclerc </w:t>
      </w:r>
      <w:r>
        <w:rPr>
          <w:rFonts w:hint="eastAsia"/>
        </w:rPr>
        <w:t xml:space="preserve">等对等待决策的研究进一步说明，等待时间的损失体验并不能简单等同于货币损失</w:t>
      </w:r>
      <w:r>
        <w:rPr>
          <w:vertAlign w:val="superscript"/>
        </w:rPr>
        <w:t xml:space="preserve">[</w:t>
      </w:r>
      <w:hyperlink w:anchor="ref-Leclerc1995">
        <w:r>
          <w:rPr>
            <w:rStyle w:val="ae"/>
            <w:vertAlign w:val="superscript"/>
          </w:rPr>
          <w:t xml:space="preserve">8</w:t>
        </w:r>
      </w:hyperlink>
      <w:r>
        <w:rPr>
          <w:vertAlign w:val="superscript"/>
        </w:rPr>
        <w:t xml:space="preserve">]</w:t>
      </w:r>
      <w:r>
        <w:rPr>
          <w:rFonts w:hint="eastAsia"/>
        </w:rPr>
        <w:t xml:space="preserve">。同样是“付出”，时间付出常常伴随无聊、焦虑、机会成本和控制感下降，因此其心理成本更依赖情境。也正因为如此，时间心理账户能够解释许多标准价格模型难以覆盖的现象。</w:t>
      </w:r>
    </w:p>
    <w:p>
      <w:pPr>
        <w:pStyle w:val="TableCaption"/>
      </w:pPr>
      <w:r>
        <w:rPr>
          <w:rFonts w:hint="eastAsia"/>
          <w:b/>
          <w:bCs/>
        </w:rPr>
        <w:t xml:space="preserve">表</w:t>
      </w:r>
      <w:r>
        <w:rPr>
          <w:b/>
          <w:bCs/>
        </w:rPr>
        <w:t xml:space="preserve"> 1 </w:t>
      </w:r>
      <w:r>
        <w:rPr>
          <w:rFonts w:hint="eastAsia"/>
          <w:b/>
          <w:bCs/>
        </w:rPr>
        <w:t xml:space="preserve">时间心理账户与金钱心理账户的比较</w:t>
      </w:r>
    </w:p>
    <w:tbl>
      <w:tblPr>
        <w:tblStyle w:val="Table"/>
        <w:tblW w:type="pct" w:w="5000"/>
        <w:tblLayout w:type="fixed"/>
        <w:tblLook w:firstRow="1" w:lastRow="0" w:firstColumn="0" w:lastColumn="0" w:noHBand="0" w:noVBand="0" w:val="0020"/>
        <w:tblCaption w:val="表 1 时间心理账户与金钱心理账户的比较"/>
      </w:tblPr>
      <w:tblGrid>
        <w:gridCol w:w="1131"/>
        <w:gridCol w:w="3394"/>
        <w:gridCol w:w="3394"/>
      </w:tblGrid>
      <w:tr>
        <w:trPr>
          <w:tblHeader w:val="on"/>
        </w:trPr>
        <w:tc>
          <w:tcPr/>
          <w:p>
            <w:pPr>
              <w:pStyle w:val="Compact"/>
            </w:pPr>
            <w:r>
              <w:rPr>
                <w:rFonts w:hint="eastAsia"/>
              </w:rPr>
              <w:t xml:space="preserve">维度</w:t>
            </w:r>
          </w:p>
        </w:tc>
        <w:tc>
          <w:tcPr/>
          <w:p>
            <w:pPr>
              <w:pStyle w:val="Compact"/>
            </w:pPr>
            <w:r>
              <w:rPr>
                <w:rFonts w:hint="eastAsia"/>
              </w:rPr>
              <w:t xml:space="preserve">时间心理账户</w:t>
            </w:r>
          </w:p>
        </w:tc>
        <w:tc>
          <w:tcPr/>
          <w:p>
            <w:pPr>
              <w:pStyle w:val="Compact"/>
            </w:pPr>
            <w:r>
              <w:rPr>
                <w:rFonts w:hint="eastAsia"/>
              </w:rPr>
              <w:t xml:space="preserve">金钱心理账户</w:t>
            </w:r>
          </w:p>
        </w:tc>
      </w:tr>
      <w:tr>
        <w:tc>
          <w:tcPr/>
          <w:p>
            <w:pPr>
              <w:pStyle w:val="Compact"/>
            </w:pPr>
            <w:r>
              <w:rPr>
                <w:rFonts w:hint="eastAsia"/>
              </w:rPr>
              <w:t xml:space="preserve">资源属性</w:t>
            </w:r>
          </w:p>
        </w:tc>
        <w:tc>
          <w:tcPr/>
          <w:p>
            <w:pPr>
              <w:pStyle w:val="Compact"/>
            </w:pPr>
            <w:r>
              <w:rPr>
                <w:rFonts w:hint="eastAsia"/>
              </w:rPr>
              <w:t xml:space="preserve">不可储存、不可逆</w:t>
            </w:r>
          </w:p>
        </w:tc>
        <w:tc>
          <w:tcPr/>
          <w:p>
            <w:pPr>
              <w:pStyle w:val="Compact"/>
            </w:pPr>
            <w:r>
              <w:rPr>
                <w:rFonts w:hint="eastAsia"/>
              </w:rPr>
              <w:t xml:space="preserve">可储存、可转移</w:t>
            </w:r>
          </w:p>
        </w:tc>
      </w:tr>
      <w:tr>
        <w:tc>
          <w:tcPr/>
          <w:p>
            <w:pPr>
              <w:pStyle w:val="Compact"/>
            </w:pPr>
            <w:r>
              <w:rPr>
                <w:rFonts w:hint="eastAsia"/>
              </w:rPr>
              <w:t xml:space="preserve">典型参照点</w:t>
            </w:r>
          </w:p>
        </w:tc>
        <w:tc>
          <w:tcPr/>
          <w:p>
            <w:pPr>
              <w:pStyle w:val="Compact"/>
            </w:pPr>
            <w:r>
              <w:rPr>
                <w:rFonts w:hint="eastAsia"/>
              </w:rPr>
              <w:t xml:space="preserve">日程预算、等待预期、角色义务</w:t>
            </w:r>
          </w:p>
        </w:tc>
        <w:tc>
          <w:tcPr/>
          <w:p>
            <w:pPr>
              <w:pStyle w:val="Compact"/>
            </w:pPr>
            <w:r>
              <w:rPr>
                <w:rFonts w:hint="eastAsia"/>
              </w:rPr>
              <w:t xml:space="preserve">收入水平、价格、账面余额</w:t>
            </w:r>
          </w:p>
        </w:tc>
      </w:tr>
      <w:tr>
        <w:tc>
          <w:tcPr/>
          <w:p>
            <w:pPr>
              <w:pStyle w:val="Compact"/>
            </w:pPr>
            <w:r>
              <w:rPr>
                <w:rFonts w:hint="eastAsia"/>
              </w:rPr>
              <w:t xml:space="preserve">常见偏差</w:t>
            </w:r>
          </w:p>
        </w:tc>
        <w:tc>
          <w:tcPr/>
          <w:p>
            <w:pPr>
              <w:pStyle w:val="Compact"/>
            </w:pPr>
            <w:r>
              <w:rPr>
                <w:rFonts w:hint="eastAsia"/>
              </w:rPr>
              <w:t xml:space="preserve">时间损失规避、等待厌恶、时间沉没成本</w:t>
            </w:r>
          </w:p>
        </w:tc>
        <w:tc>
          <w:tcPr/>
          <w:p>
            <w:pPr>
              <w:pStyle w:val="Compact"/>
            </w:pPr>
            <w:r>
              <w:rPr>
                <w:rFonts w:hint="eastAsia"/>
              </w:rPr>
              <w:t xml:space="preserve">支出分账、损失厌恶、沉没成本</w:t>
            </w:r>
          </w:p>
        </w:tc>
      </w:tr>
      <w:tr>
        <w:tc>
          <w:tcPr/>
          <w:p>
            <w:pPr>
              <w:pStyle w:val="Compact"/>
            </w:pPr>
            <w:r>
              <w:rPr>
                <w:rFonts w:hint="eastAsia"/>
              </w:rPr>
              <w:t xml:space="preserve">判断方式</w:t>
            </w:r>
          </w:p>
        </w:tc>
        <w:tc>
          <w:tcPr/>
          <w:p>
            <w:pPr>
              <w:pStyle w:val="Compact"/>
            </w:pPr>
            <w:r>
              <w:rPr>
                <w:rFonts w:hint="eastAsia"/>
              </w:rPr>
              <w:t xml:space="preserve">更依赖情境与体验线索</w:t>
            </w:r>
          </w:p>
        </w:tc>
        <w:tc>
          <w:tcPr/>
          <w:p>
            <w:pPr>
              <w:pStyle w:val="Compact"/>
            </w:pPr>
            <w:r>
              <w:rPr>
                <w:rFonts w:hint="eastAsia"/>
              </w:rPr>
              <w:t xml:space="preserve">更依赖金额与结果核算</w:t>
            </w:r>
          </w:p>
        </w:tc>
      </w:tr>
      <w:tr>
        <w:tc>
          <w:tcPr/>
          <w:p>
            <w:pPr>
              <w:pStyle w:val="Compact"/>
            </w:pPr>
            <w:r>
              <w:rPr>
                <w:rFonts w:hint="eastAsia"/>
              </w:rPr>
              <w:t xml:space="preserve">管理目标</w:t>
            </w:r>
          </w:p>
        </w:tc>
        <w:tc>
          <w:tcPr/>
          <w:p>
            <w:pPr>
              <w:pStyle w:val="Compact"/>
            </w:pPr>
            <w:r>
              <w:rPr>
                <w:rFonts w:hint="eastAsia"/>
              </w:rPr>
              <w:t xml:space="preserve">平衡不同生活账户</w:t>
            </w:r>
          </w:p>
        </w:tc>
        <w:tc>
          <w:tcPr/>
          <w:p>
            <w:pPr>
              <w:pStyle w:val="Compact"/>
            </w:pPr>
            <w:r>
              <w:rPr>
                <w:rFonts w:hint="eastAsia"/>
              </w:rPr>
              <w:t xml:space="preserve">平衡不同财务账户</w:t>
            </w:r>
          </w:p>
        </w:tc>
      </w:tr>
    </w:tbl>
    <w:bookmarkEnd w:id="22"/>
    <w:bookmarkStart w:id="26" w:name="编码规则与相似性问题"/>
    <w:p>
      <w:pPr>
        <w:pStyle w:val="20"/>
      </w:pPr>
      <w:r>
        <w:t xml:space="preserve">2.3 </w:t>
      </w:r>
      <w:r>
        <w:rPr>
          <w:rFonts w:hint="eastAsia"/>
        </w:rPr>
        <w:t xml:space="preserve">编码规则与相似性问题</w:t>
      </w:r>
    </w:p>
    <w:p>
      <w:pPr>
        <w:pStyle w:val="FirstParagraph"/>
      </w:pPr>
      <w:r>
        <w:rPr>
          <w:rFonts w:hint="eastAsia"/>
        </w:rPr>
        <w:t xml:space="preserve">更广义的心理账户研究还提示，收益或损失是被整合还是被分离，会影响体验强度与后续选择。修正后的编码规则表明，多重结果的整合未必总比隔离更差，关键在于结果组合与主观解释</w:t>
      </w:r>
      <w:r>
        <w:rPr>
          <w:vertAlign w:val="superscript"/>
        </w:rPr>
        <w:t xml:space="preserve">[</w:t>
      </w:r>
      <w:hyperlink w:anchor="ref-Chang2014">
        <w:r>
          <w:rPr>
            <w:rStyle w:val="ae"/>
            <w:vertAlign w:val="superscript"/>
          </w:rPr>
          <w:t xml:space="preserve">9</w:t>
        </w:r>
      </w:hyperlink>
      <w:r>
        <w:rPr>
          <w:vertAlign w:val="superscript"/>
        </w:rPr>
        <w:t xml:space="preserve">]</w:t>
      </w:r>
      <w:r>
        <w:t xml:space="preserve">。Evers </w:t>
      </w:r>
      <w:r>
        <w:rPr>
          <w:rFonts w:hint="eastAsia"/>
        </w:rPr>
        <w:t xml:space="preserve">等进一步强调，相似性会影响结果被归入同一账户还是不同账户，从而改变人们对损失与收益时序安排的偏好</w:t>
      </w:r>
      <w:r>
        <w:rPr>
          <w:vertAlign w:val="superscript"/>
        </w:rPr>
        <w:t xml:space="preserve">[</w:t>
      </w:r>
      <w:hyperlink w:anchor="ref-Evers2022">
        <w:r>
          <w:rPr>
            <w:rStyle w:val="ae"/>
            <w:vertAlign w:val="superscript"/>
          </w:rPr>
          <w:t xml:space="preserve">10</w:t>
        </w:r>
      </w:hyperlink>
      <w:r>
        <w:rPr>
          <w:vertAlign w:val="superscript"/>
        </w:rPr>
        <w:t xml:space="preserve">]</w:t>
      </w:r>
      <w:r>
        <w:rPr>
          <w:rFonts w:hint="eastAsia"/>
        </w:rPr>
        <w:t xml:space="preserve">。这些结论虽然并非专为时间问题提出，却对理解“多个等待是否被看作一笔总损失”“连续加班是否被视作同一账户支出”很有启发。</w:t>
      </w:r>
    </w:p>
    <w:p>
      <w:pPr>
        <w:pStyle w:val="CaptionedFigure"/>
      </w:pPr>
      <w:r>
        <w:drawing>
          <wp:inline>
            <wp:extent cx="5270500" cy="3215828"/>
            <wp:effectExtent b="0" l="0" r="0" t="0"/>
            <wp:docPr descr="" title="图 1 理论框架（示例图）" id="24" name="Picture"/>
            <a:graphic>
              <a:graphicData uri="http://schemas.openxmlformats.org/drawingml/2006/picture">
                <pic:pic>
                  <pic:nvPicPr>
                    <pic:cNvPr descr="D:\Vibe_Project\md2docx\tests\assets\示例图.png" id="25" name="Picture"/>
                    <pic:cNvPicPr>
                      <a:picLocks noChangeArrowheads="1" noChangeAspect="1"/>
                    </pic:cNvPicPr>
                  </pic:nvPicPr>
                  <pic:blipFill>
                    <a:blip r:embed="rId23"/>
                    <a:stretch>
                      <a:fillRect/>
                    </a:stretch>
                  </pic:blipFill>
                  <pic:spPr bwMode="auto">
                    <a:xfrm>
                      <a:off x="0" y="0"/>
                      <a:ext cx="5270500" cy="3215828"/>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理论框架（示例图）</w:t>
      </w:r>
    </w:p>
    <w:bookmarkEnd w:id="26"/>
    <w:bookmarkEnd w:id="27"/>
    <w:bookmarkStart w:id="31" w:name="时间心理账户的主要应用场景"/>
    <w:p>
      <w:pPr>
        <w:pStyle w:val="10"/>
      </w:pPr>
      <w:r>
        <w:t xml:space="preserve">3 </w:t>
      </w:r>
      <w:r>
        <w:rPr>
          <w:rFonts w:hint="eastAsia"/>
        </w:rPr>
        <w:t xml:space="preserve">时间心理账户的主要应用场景</w:t>
      </w:r>
    </w:p>
    <w:bookmarkStart w:id="28" w:name="等待与服务体验"/>
    <w:p>
      <w:pPr>
        <w:pStyle w:val="20"/>
      </w:pPr>
      <w:r>
        <w:t xml:space="preserve">3.1 </w:t>
      </w:r>
      <w:r>
        <w:rPr>
          <w:rFonts w:hint="eastAsia"/>
        </w:rPr>
        <w:t xml:space="preserve">等待与服务体验</w:t>
      </w:r>
    </w:p>
    <w:p>
      <w:pPr>
        <w:pStyle w:val="FirstParagraph"/>
      </w:pPr>
      <w:r>
        <w:rPr>
          <w:rFonts w:hint="eastAsia"/>
        </w:rPr>
        <w:t xml:space="preserve">等待是时间心理账户最直观的应用场景。李爱梅等指出，等待时间知觉会影响主观体验，并诱发时间沉没成本效应、延迟</w:t>
      </w:r>
      <w:r>
        <w:t xml:space="preserve"> - </w:t>
      </w:r>
      <w:r>
        <w:rPr>
          <w:rFonts w:hint="eastAsia"/>
        </w:rPr>
        <w:t xml:space="preserve">提前框架效应、峰终效应与偏好反转等非理性行为</w:t>
      </w:r>
      <w:r>
        <w:rPr>
          <w:vertAlign w:val="superscript"/>
        </w:rPr>
        <w:t xml:space="preserve">[</w:t>
      </w:r>
      <w:hyperlink w:anchor="ref-LiAiMei2014">
        <w:r>
          <w:rPr>
            <w:rStyle w:val="ae"/>
            <w:vertAlign w:val="superscript"/>
          </w:rPr>
          <w:t xml:space="preserve">11</w:t>
        </w:r>
      </w:hyperlink>
      <w:r>
        <w:rPr>
          <w:vertAlign w:val="superscript"/>
        </w:rPr>
        <w:t xml:space="preserve">]</w:t>
      </w:r>
      <w:r>
        <w:rPr>
          <w:rFonts w:hint="eastAsia"/>
        </w:rPr>
        <w:t xml:space="preserve">。从账户视角看，等待之所以痛苦，不只是时间被消耗，更因为“本该用于其他事务的时间”被强制转入低价值账户。由此推论，服务设计若能提供明确进度、减少不确定性、增加过程填充物，就能在一定程度上降低时间损失感。</w:t>
      </w:r>
    </w:p>
    <w:bookmarkEnd w:id="28"/>
    <w:bookmarkStart w:id="29" w:name="消费媒体与平台行为"/>
    <w:p>
      <w:pPr>
        <w:pStyle w:val="20"/>
      </w:pPr>
      <w:r>
        <w:t xml:space="preserve">3.2 </w:t>
      </w:r>
      <w:r>
        <w:rPr>
          <w:rFonts w:hint="eastAsia"/>
        </w:rPr>
        <w:t xml:space="preserve">消费、媒体与平台行为</w:t>
      </w:r>
    </w:p>
    <w:p>
      <w:pPr>
        <w:pStyle w:val="FirstParagraph"/>
      </w:pPr>
      <w:r>
        <w:rPr>
          <w:rFonts w:hint="eastAsia"/>
        </w:rPr>
        <w:t xml:space="preserve">在消费研究中，时间与金钱的支出会引发不同的购买心态</w:t>
      </w:r>
      <w:r>
        <w:rPr>
          <w:vertAlign w:val="superscript"/>
        </w:rPr>
        <w:t xml:space="preserve">[</w:t>
      </w:r>
      <w:hyperlink w:anchor="ref-Okada2004">
        <w:r>
          <w:rPr>
            <w:rStyle w:val="ae"/>
            <w:vertAlign w:val="superscript"/>
          </w:rPr>
          <w:t xml:space="preserve">7</w:t>
        </w:r>
      </w:hyperlink>
      <w:r>
        <w:rPr>
          <w:vertAlign w:val="superscript"/>
        </w:rPr>
        <w:t xml:space="preserve">]</w:t>
      </w:r>
      <w:r>
        <w:rPr>
          <w:rFonts w:hint="eastAsia"/>
        </w:rPr>
        <w:t xml:space="preserve">。而在平台环境中，时间心理账户的作用更加显性。Kim</w:t>
      </w:r>
      <w:r>
        <w:t xml:space="preserve"> </w:t>
      </w:r>
      <w:r>
        <w:rPr>
          <w:rFonts w:hint="eastAsia"/>
        </w:rPr>
        <w:t xml:space="preserve">等基于</w:t>
      </w:r>
      <w:r>
        <w:t xml:space="preserve"> 82,757 </w:t>
      </w:r>
      <w:r>
        <w:rPr>
          <w:rFonts w:hint="eastAsia"/>
        </w:rPr>
        <w:t xml:space="preserve">条在线视频平台日志发现，内容长度、内容热度和信息属性会提升用户继续观看广告的时间，而广告时长则显著降低观看时长</w:t>
      </w:r>
      <w:r>
        <w:rPr>
          <w:vertAlign w:val="superscript"/>
        </w:rPr>
        <w:t xml:space="preserve">[</w:t>
      </w:r>
      <w:hyperlink w:anchor="ref-Kim2023">
        <w:r>
          <w:rPr>
            <w:rStyle w:val="ae"/>
            <w:vertAlign w:val="superscript"/>
          </w:rPr>
          <w:t xml:space="preserve">12</w:t>
        </w:r>
      </w:hyperlink>
      <w:r>
        <w:rPr>
          <w:vertAlign w:val="superscript"/>
        </w:rPr>
        <w:t xml:space="preserve">]</w:t>
      </w:r>
      <w:r>
        <w:rPr>
          <w:rFonts w:hint="eastAsia"/>
        </w:rPr>
        <w:t xml:space="preserve">。这一结果说明，用户并不是孤立评估广告本身，而是在“观看内容收益”与“广告占用时间成本”之间进行动态核算。</w:t>
      </w:r>
    </w:p>
    <w:p>
      <w:pPr>
        <w:pStyle w:val="a0"/>
      </w:pPr>
      <w:r>
        <w:rPr>
          <w:rFonts w:hint="eastAsia"/>
        </w:rPr>
        <w:t xml:space="preserve">为便于演示转换效果，下面给出一个简单伪代码，用来描述平台中用户是否跳过广告的账户式判断：</w:t>
      </w:r>
    </w:p>
    <w:p>
      <w:pPr>
        <w:pStyle w:val="SourceCode"/>
      </w:pPr>
      <w:r>
        <w:rPr>
          <w:rStyle w:val="KeywordTok"/>
        </w:rPr>
        <w:t xml:space="preserve">def</w:t>
      </w:r>
      <w:r>
        <w:rPr>
          <w:rStyle w:val="NormalTok"/>
        </w:rPr>
        <w:t xml:space="preserve"> should_skip_ad(content_value, ad_length, wait_tolerance):</w:t>
      </w:r>
      <w:r>
        <w:br/>
      </w:r>
      <w:r>
        <w:rPr>
          <w:rStyle w:val="NormalTok"/>
        </w:rPr>
        <w:t xml:space="preserve">    perceived_gain </w:t>
      </w:r>
      <w:r>
        <w:rPr>
          <w:rStyle w:val="OperatorTok"/>
        </w:rPr>
        <w:t xml:space="preserve">=</w:t>
      </w:r>
      <w:r>
        <w:rPr>
          <w:rStyle w:val="NormalTok"/>
        </w:rPr>
        <w:t xml:space="preserve"> content_value</w:t>
      </w:r>
      <w:r>
        <w:br/>
      </w:r>
      <w:r>
        <w:rPr>
          <w:rStyle w:val="NormalTok"/>
        </w:rPr>
        <w:t xml:space="preserve">    perceived_cost </w:t>
      </w:r>
      <w:r>
        <w:rPr>
          <w:rStyle w:val="OperatorTok"/>
        </w:rPr>
        <w:t xml:space="preserve">=</w:t>
      </w:r>
      <w:r>
        <w:rPr>
          <w:rStyle w:val="NormalTok"/>
        </w:rPr>
        <w:t xml:space="preserve"> ad_length </w:t>
      </w:r>
      <w:r>
        <w:rPr>
          <w:rStyle w:val="OperatorTok"/>
        </w:rPr>
        <w:t xml:space="preserve">/</w:t>
      </w:r>
      <w:r>
        <w:rPr>
          <w:rStyle w:val="NormalTok"/>
        </w:rPr>
        <w:t xml:space="preserve"> wait_tolerance</w:t>
      </w:r>
      <w:r>
        <w:br/>
      </w:r>
      <w:r>
        <w:rPr>
          <w:rStyle w:val="NormalTok"/>
        </w:rPr>
        <w:t xml:space="preserve">    </w:t>
      </w:r>
      <w:r>
        <w:rPr>
          <w:rStyle w:val="ControlFlowTok"/>
        </w:rPr>
        <w:t xml:space="preserve">return</w:t>
      </w:r>
      <w:r>
        <w:rPr>
          <w:rStyle w:val="NormalTok"/>
        </w:rPr>
        <w:t xml:space="preserve"> perceived_cost </w:t>
      </w:r>
      <w:r>
        <w:rPr>
          <w:rStyle w:val="OperatorTok"/>
        </w:rPr>
        <w:t xml:space="preserve">&gt;</w:t>
      </w:r>
      <w:r>
        <w:rPr>
          <w:rStyle w:val="NormalTok"/>
        </w:rPr>
        <w:t xml:space="preserve"> perceived_gain</w:t>
      </w:r>
    </w:p>
    <w:p>
      <w:pPr>
        <w:pStyle w:val="FirstParagraph"/>
      </w:pPr>
      <w:r>
        <w:rPr>
          <w:rFonts w:hint="eastAsia"/>
        </w:rPr>
        <w:t xml:space="preserve">这段代码并不用于实证估计，只是把文献中“收益</w:t>
      </w:r>
      <w:r>
        <w:t xml:space="preserve"> - </w:t>
      </w:r>
      <w:r>
        <w:rPr>
          <w:rFonts w:hint="eastAsia"/>
        </w:rPr>
        <w:t xml:space="preserve">成本比较”的思路写成最简形式，便于测试内联代码、代码块与段落混排的版式效果。</w:t>
      </w:r>
    </w:p>
    <w:bookmarkEnd w:id="29"/>
    <w:bookmarkStart w:id="30" w:name="出行与交通决策"/>
    <w:p>
      <w:pPr>
        <w:pStyle w:val="20"/>
      </w:pPr>
      <w:r>
        <w:t xml:space="preserve">3.3 </w:t>
      </w:r>
      <w:r>
        <w:rPr>
          <w:rFonts w:hint="eastAsia"/>
        </w:rPr>
        <w:t xml:space="preserve">出行与交通决策</w:t>
      </w:r>
    </w:p>
    <w:p>
      <w:pPr>
        <w:pStyle w:val="FirstParagraph"/>
      </w:pPr>
      <w:r>
        <w:rPr>
          <w:rFonts w:hint="eastAsia"/>
        </w:rPr>
        <w:t xml:space="preserve">在出行场景中，时间心理账户被进一步形式化。Liu</w:t>
      </w:r>
      <w:r>
        <w:t xml:space="preserve"> </w:t>
      </w:r>
      <w:r>
        <w:rPr>
          <w:rFonts w:hint="eastAsia"/>
        </w:rPr>
        <w:t xml:space="preserve">等提出同时考虑出行时间和出行成本的</w:t>
      </w:r>
      <w:r>
        <w:t xml:space="preserve"> MA-TC </w:t>
      </w:r>
      <w:r>
        <w:rPr>
          <w:rFonts w:hint="eastAsia"/>
        </w:rPr>
        <w:t xml:space="preserve">模型，发现人们在确定性与风险性条件下，对时间和成本变化的敏感性并不一致</w:t>
      </w:r>
      <w:r>
        <w:rPr>
          <w:vertAlign w:val="superscript"/>
        </w:rPr>
        <w:t xml:space="preserve">[</w:t>
      </w:r>
      <w:hyperlink w:anchor="ref-Liu2021">
        <w:r>
          <w:rPr>
            <w:rStyle w:val="ae"/>
            <w:vertAlign w:val="superscript"/>
          </w:rPr>
          <w:t xml:space="preserve">5</w:t>
        </w:r>
      </w:hyperlink>
      <w:r>
        <w:rPr>
          <w:vertAlign w:val="superscript"/>
        </w:rPr>
        <w:t xml:space="preserve">]</w:t>
      </w:r>
      <w:r>
        <w:rPr>
          <w:rFonts w:hint="eastAsia"/>
        </w:rPr>
        <w:t xml:space="preserve">。与传统模型相比，这类方法更能描述现实中的有限理性。相关综述也指出，前景理论在出行行为研究中的适用性很大程度上取决于决策属性是否具有不确定性，以及个体差异是否显著</w:t>
      </w:r>
      <w:r>
        <w:rPr>
          <w:vertAlign w:val="superscript"/>
        </w:rPr>
        <w:t xml:space="preserve">[</w:t>
      </w:r>
      <w:hyperlink w:anchor="ref-ZhangBo2013">
        <w:r>
          <w:rPr>
            <w:rStyle w:val="ae"/>
            <w:vertAlign w:val="superscript"/>
          </w:rPr>
          <w:t xml:space="preserve">13</w:t>
        </w:r>
      </w:hyperlink>
      <w:r>
        <w:rPr>
          <w:vertAlign w:val="superscript"/>
        </w:rPr>
        <w:t xml:space="preserve">]</w:t>
      </w:r>
      <w:r>
        <w:t xml:space="preserve">。</w:t>
      </w:r>
    </w:p>
    <w:p>
      <w:pPr>
        <w:pStyle w:val="TableCaption"/>
      </w:pPr>
      <w:r>
        <w:rPr>
          <w:rFonts w:hint="eastAsia"/>
          <w:b/>
          <w:bCs/>
        </w:rPr>
        <w:t xml:space="preserve">表</w:t>
      </w:r>
      <w:r>
        <w:rPr>
          <w:b/>
          <w:bCs/>
        </w:rPr>
        <w:t xml:space="preserve"> 2 </w:t>
      </w:r>
      <w:r>
        <w:rPr>
          <w:rFonts w:hint="eastAsia"/>
          <w:b/>
          <w:bCs/>
        </w:rPr>
        <w:t xml:space="preserve">代表性研究的主题与启示</w:t>
      </w:r>
    </w:p>
    <w:tbl>
      <w:tblPr>
        <w:tblStyle w:val="Table"/>
        <w:tblW w:type="pct" w:w="5000"/>
        <w:tblLayout w:type="fixed"/>
        <w:tblLook w:firstRow="1" w:lastRow="0" w:firstColumn="0" w:lastColumn="0" w:noHBand="0" w:noVBand="0" w:val="0020"/>
        <w:tblCaption w:val="表 2 代表性研究的主题与启示"/>
      </w:tblPr>
      <w:tblGrid>
        <w:gridCol w:w="2640"/>
        <w:gridCol w:w="2640"/>
        <w:gridCol w:w="2640"/>
      </w:tblGrid>
      <w:tr>
        <w:trPr>
          <w:tblHeader w:val="on"/>
        </w:trPr>
        <w:tc>
          <w:tcPr/>
          <w:p>
            <w:pPr>
              <w:pStyle w:val="Compact"/>
            </w:pPr>
            <w:r>
              <w:rPr>
                <w:rFonts w:hint="eastAsia"/>
              </w:rPr>
              <w:t xml:space="preserve">研究主题</w:t>
            </w:r>
          </w:p>
        </w:tc>
        <w:tc>
          <w:tcPr/>
          <w:p>
            <w:pPr>
              <w:pStyle w:val="Compact"/>
            </w:pPr>
            <w:r>
              <w:rPr>
                <w:rFonts w:hint="eastAsia"/>
              </w:rPr>
              <w:t xml:space="preserve">主要发现</w:t>
            </w:r>
          </w:p>
        </w:tc>
        <w:tc>
          <w:tcPr/>
          <w:p>
            <w:pPr>
              <w:pStyle w:val="Compact"/>
            </w:pPr>
            <w:r>
              <w:rPr>
                <w:rFonts w:hint="eastAsia"/>
              </w:rPr>
              <w:t xml:space="preserve">方法特征</w:t>
            </w:r>
          </w:p>
        </w:tc>
      </w:tr>
      <w:tr>
        <w:tc>
          <w:tcPr/>
          <w:p>
            <w:pPr>
              <w:pStyle w:val="Compact"/>
            </w:pPr>
            <w:r>
              <w:rPr>
                <w:rFonts w:hint="eastAsia"/>
              </w:rPr>
              <w:t xml:space="preserve">时间账户是否存在</w:t>
            </w:r>
          </w:p>
        </w:tc>
        <w:tc>
          <w:tcPr/>
          <w:p>
            <w:pPr>
              <w:pStyle w:val="Compact"/>
            </w:pPr>
            <w:r>
              <w:rPr>
                <w:rFonts w:hint="eastAsia"/>
              </w:rPr>
              <w:t xml:space="preserve">个体会为工作与非工作时间建立不同账户</w:t>
            </w:r>
            <w:r>
              <w:rPr>
                <w:vertAlign w:val="superscript"/>
              </w:rPr>
              <w:t xml:space="preserve">[</w:t>
            </w:r>
            <w:hyperlink w:anchor="ref-Rajagopal2009">
              <w:r>
                <w:rPr>
                  <w:rStyle w:val="ae"/>
                  <w:vertAlign w:val="superscript"/>
                </w:rPr>
                <w:t xml:space="preserve">1</w:t>
              </w:r>
            </w:hyperlink>
            <w:r>
              <w:rPr>
                <w:vertAlign w:val="superscript"/>
              </w:rPr>
              <w:t xml:space="preserve">]</w:t>
            </w:r>
          </w:p>
        </w:tc>
        <w:tc>
          <w:tcPr/>
          <w:p>
            <w:pPr>
              <w:pStyle w:val="Compact"/>
            </w:pPr>
            <w:r>
              <w:rPr>
                <w:rFonts w:hint="eastAsia"/>
              </w:rPr>
              <w:t xml:space="preserve">多实验设计</w:t>
            </w:r>
          </w:p>
        </w:tc>
      </w:tr>
      <w:tr>
        <w:tc>
          <w:tcPr/>
          <w:p>
            <w:pPr>
              <w:pStyle w:val="Compact"/>
            </w:pPr>
            <w:r>
              <w:rPr>
                <w:rFonts w:hint="eastAsia"/>
              </w:rPr>
              <w:t xml:space="preserve">等待时间知觉</w:t>
            </w:r>
          </w:p>
        </w:tc>
        <w:tc>
          <w:tcPr/>
          <w:p>
            <w:pPr>
              <w:pStyle w:val="Compact"/>
            </w:pPr>
            <w:r>
              <w:rPr>
                <w:rFonts w:hint="eastAsia"/>
              </w:rPr>
              <w:t xml:space="preserve">等待可诱发多种非理性决策偏差</w:t>
            </w:r>
            <w:r>
              <w:rPr>
                <w:vertAlign w:val="superscript"/>
              </w:rPr>
              <w:t xml:space="preserve">[</w:t>
            </w:r>
            <w:hyperlink w:anchor="ref-LiAiMei2014">
              <w:r>
                <w:rPr>
                  <w:rStyle w:val="ae"/>
                  <w:vertAlign w:val="superscript"/>
                </w:rPr>
                <w:t xml:space="preserve">11</w:t>
              </w:r>
            </w:hyperlink>
            <w:r>
              <w:rPr>
                <w:vertAlign w:val="superscript"/>
              </w:rPr>
              <w:t xml:space="preserve">]</w:t>
            </w:r>
          </w:p>
        </w:tc>
        <w:tc>
          <w:tcPr/>
          <w:p>
            <w:pPr>
              <w:pStyle w:val="Compact"/>
            </w:pPr>
            <w:r>
              <w:rPr>
                <w:rFonts w:hint="eastAsia"/>
              </w:rPr>
              <w:t xml:space="preserve">中文综述</w:t>
            </w:r>
          </w:p>
        </w:tc>
      </w:tr>
      <w:tr>
        <w:tc>
          <w:tcPr/>
          <w:p>
            <w:pPr>
              <w:pStyle w:val="Compact"/>
            </w:pPr>
            <w:r>
              <w:rPr>
                <w:rFonts w:hint="eastAsia"/>
              </w:rPr>
              <w:t xml:space="preserve">广告跳过行为</w:t>
            </w:r>
          </w:p>
        </w:tc>
        <w:tc>
          <w:tcPr/>
          <w:p>
            <w:pPr>
              <w:pStyle w:val="Compact"/>
            </w:pPr>
            <w:r>
              <w:rPr>
                <w:rFonts w:hint="eastAsia"/>
              </w:rPr>
              <w:t xml:space="preserve">内容收益与广告时间成本共同决定观看时长</w:t>
            </w:r>
            <w:r>
              <w:rPr>
                <w:vertAlign w:val="superscript"/>
              </w:rPr>
              <w:t xml:space="preserve">[</w:t>
            </w:r>
            <w:hyperlink w:anchor="ref-Kim2023">
              <w:r>
                <w:rPr>
                  <w:rStyle w:val="ae"/>
                  <w:vertAlign w:val="superscript"/>
                </w:rPr>
                <w:t xml:space="preserve">12</w:t>
              </w:r>
            </w:hyperlink>
            <w:r>
              <w:rPr>
                <w:vertAlign w:val="superscript"/>
              </w:rPr>
              <w:t xml:space="preserve">]</w:t>
            </w:r>
          </w:p>
        </w:tc>
        <w:tc>
          <w:tcPr/>
          <w:p>
            <w:pPr>
              <w:pStyle w:val="Compact"/>
            </w:pPr>
            <w:r>
              <w:rPr>
                <w:rFonts w:hint="eastAsia"/>
              </w:rPr>
              <w:t xml:space="preserve">平台日志数据</w:t>
            </w:r>
          </w:p>
        </w:tc>
      </w:tr>
      <w:tr>
        <w:tc>
          <w:tcPr/>
          <w:p>
            <w:pPr>
              <w:pStyle w:val="Compact"/>
            </w:pPr>
            <w:r>
              <w:rPr>
                <w:rFonts w:hint="eastAsia"/>
              </w:rPr>
              <w:t xml:space="preserve">出行时间</w:t>
            </w:r>
            <w:r>
              <w:t xml:space="preserve"> - </w:t>
            </w:r>
            <w:r>
              <w:rPr>
                <w:rFonts w:hint="eastAsia"/>
              </w:rPr>
              <w:t xml:space="preserve">成本整合</w:t>
            </w:r>
          </w:p>
        </w:tc>
        <w:tc>
          <w:tcPr/>
          <w:p>
            <w:pPr>
              <w:pStyle w:val="Compact"/>
            </w:pPr>
            <w:r>
              <w:rPr>
                <w:rFonts w:hint="eastAsia"/>
              </w:rPr>
              <w:t xml:space="preserve">风险条件下损失敏感性更强</w:t>
            </w:r>
            <w:r>
              <w:rPr>
                <w:vertAlign w:val="superscript"/>
              </w:rPr>
              <w:t xml:space="preserve">[</w:t>
            </w:r>
            <w:hyperlink w:anchor="ref-Liu2021">
              <w:r>
                <w:rPr>
                  <w:rStyle w:val="ae"/>
                  <w:vertAlign w:val="superscript"/>
                </w:rPr>
                <w:t xml:space="preserve">5</w:t>
              </w:r>
            </w:hyperlink>
            <w:r>
              <w:rPr>
                <w:vertAlign w:val="superscript"/>
              </w:rPr>
              <w:t xml:space="preserve">]</w:t>
            </w:r>
          </w:p>
        </w:tc>
        <w:tc>
          <w:tcPr/>
          <w:p>
            <w:pPr>
              <w:pStyle w:val="Compact"/>
            </w:pPr>
            <w:r>
              <w:rPr>
                <w:rFonts w:hint="eastAsia"/>
              </w:rPr>
              <w:t xml:space="preserve">行为建模</w:t>
            </w:r>
          </w:p>
        </w:tc>
      </w:tr>
    </w:tbl>
    <w:bookmarkEnd w:id="30"/>
    <w:bookmarkEnd w:id="31"/>
    <w:bookmarkStart w:id="32" w:name="评价与展望"/>
    <w:p>
      <w:pPr>
        <w:pStyle w:val="10"/>
      </w:pPr>
      <w:r>
        <w:t xml:space="preserve">4 </w:t>
      </w:r>
      <w:r>
        <w:rPr>
          <w:rFonts w:hint="eastAsia"/>
        </w:rPr>
        <w:t xml:space="preserve">评价与展望</w:t>
      </w:r>
    </w:p>
    <w:p>
      <w:pPr>
        <w:pStyle w:val="FirstParagraph"/>
      </w:pPr>
      <w:r>
        <w:rPr>
          <w:rFonts w:hint="eastAsia"/>
        </w:rPr>
        <w:t xml:space="preserve">现有研究的主要贡献有三点。第一，它突破了“时间完全等价于金钱”的简单假设，说明时间具有账户化、标签化和情境化特征</w:t>
      </w:r>
      <w:r>
        <w:rPr>
          <w:vertAlign w:val="superscript"/>
        </w:rPr>
        <w:t xml:space="preserve">[</w:t>
      </w:r>
      <w:hyperlink w:anchor="ref-ZhangJunWei2010">
        <w:r>
          <w:rPr>
            <w:rStyle w:val="ae"/>
            <w:vertAlign w:val="superscript"/>
          </w:rPr>
          <w:t xml:space="preserve">3</w:t>
        </w:r>
      </w:hyperlink>
      <w:r>
        <w:rPr>
          <w:vertAlign w:val="superscript"/>
        </w:rPr>
        <w:t xml:space="preserve">]</w:t>
      </w:r>
      <w:r>
        <w:rPr>
          <w:rFonts w:hint="eastAsia"/>
        </w:rPr>
        <w:t xml:space="preserve">。第二，它把前景理论、心理账户理论与等待、消费、出行等现实问题连接起来，增强了行为决策研究的解释力</w:t>
      </w:r>
      <w:r>
        <w:rPr>
          <w:vertAlign w:val="superscript"/>
        </w:rPr>
        <w:t xml:space="preserve">[</w:t>
      </w:r>
      <w:hyperlink w:anchor="ref-Tversky1981">
        <w:r>
          <w:rPr>
            <w:rStyle w:val="ae"/>
            <w:vertAlign w:val="superscript"/>
          </w:rPr>
          <w:t xml:space="preserve">4</w:t>
        </w:r>
      </w:hyperlink>
      <w:r>
        <w:rPr>
          <w:vertAlign w:val="superscript"/>
        </w:rPr>
        <w:t xml:space="preserve">,</w:t>
      </w:r>
      <w:hyperlink w:anchor="ref-Liu2021">
        <w:r>
          <w:rPr>
            <w:rStyle w:val="ae"/>
            <w:vertAlign w:val="superscript"/>
          </w:rPr>
          <w:t xml:space="preserve">5</w:t>
        </w:r>
      </w:hyperlink>
      <w:r>
        <w:rPr>
          <w:vertAlign w:val="superscript"/>
        </w:rPr>
        <w:t xml:space="preserve">]</w:t>
      </w:r>
      <w:r>
        <w:rPr>
          <w:rFonts w:hint="eastAsia"/>
        </w:rPr>
        <w:t xml:space="preserve">。第三，随着平台日志、交通行为数据和服务过程数据的引入，时间心理账户开始从概念论证走向更贴近真实行为的检验</w:t>
      </w:r>
      <w:r>
        <w:rPr>
          <w:vertAlign w:val="superscript"/>
        </w:rPr>
        <w:t xml:space="preserve">[</w:t>
      </w:r>
      <w:hyperlink w:anchor="ref-Kim2023">
        <w:r>
          <w:rPr>
            <w:rStyle w:val="ae"/>
            <w:vertAlign w:val="superscript"/>
          </w:rPr>
          <w:t xml:space="preserve">12</w:t>
        </w:r>
      </w:hyperlink>
      <w:r>
        <w:rPr>
          <w:vertAlign w:val="superscript"/>
        </w:rPr>
        <w:t xml:space="preserve">]</w:t>
      </w:r>
      <w:r>
        <w:t xml:space="preserve">。</w:t>
      </w:r>
    </w:p>
    <w:p>
      <w:pPr>
        <w:pStyle w:val="a0"/>
      </w:pPr>
      <w:r>
        <w:rPr>
          <w:rFonts w:hint="eastAsia"/>
          <w:b/>
          <w:bCs/>
        </w:rPr>
        <w:t xml:space="preserve">表3</w:t>
      </w:r>
      <w:r>
        <w:rPr>
          <w:b/>
          <w:bCs/>
        </w:rPr>
        <w:t xml:space="preserve"> </w:t>
      </w:r>
      <w:r>
        <w:rPr>
          <w:rFonts w:hint="eastAsia"/>
          <w:b/>
          <w:bCs/>
        </w:rPr>
        <w:t xml:space="preserve">HTML表格转换效果演示</w:t>
      </w:r>
    </w:p>
    <w:p>
      <w:pPr>
        <w:pStyle w:val="a0"/>
      </w:pPr>
      <w:r>
        <w:rPr>
          <w:rFonts w:hint="eastAsia"/>
        </w:rPr>
        <w:t xml:space="preserve">驱动维度</w:t>
      </w:r>
    </w:p>
    <w:p>
      <w:pPr>
        <w:pStyle w:val="a0"/>
      </w:pPr>
      <w:r>
        <w:rPr>
          <w:rFonts w:hint="eastAsia"/>
        </w:rPr>
        <w:t xml:space="preserve">前因条件</w:t>
      </w:r>
    </w:p>
    <w:p>
      <w:pPr>
        <w:pStyle w:val="a0"/>
      </w:pPr>
      <w:r>
        <w:rPr>
          <w:rFonts w:hint="eastAsia"/>
        </w:rPr>
        <w:t xml:space="preserve">一致性</w:t>
      </w:r>
    </w:p>
    <w:p>
      <w:pPr>
        <w:pStyle w:val="a0"/>
      </w:pPr>
      <w:r>
        <w:rPr>
          <w:rFonts w:hint="eastAsia"/>
        </w:rPr>
        <w:t xml:space="preserve">覆盖度</w:t>
      </w:r>
    </w:p>
    <w:p>
      <w:pPr>
        <w:pStyle w:val="a0"/>
      </w:pPr>
      <w:r>
        <w:rPr>
          <w:rFonts w:hint="eastAsia"/>
        </w:rPr>
        <w:t xml:space="preserve">企业组织</w:t>
      </w:r>
    </w:p>
    <w:p>
      <w:pPr>
        <w:pStyle w:val="a0"/>
      </w:pPr>
      <w:r>
        <w:rPr>
          <w:rFonts w:hint="eastAsia"/>
        </w:rPr>
        <w:t xml:space="preserve">管理层战略重视度</w:t>
      </w:r>
      <w:r>
        <w:t xml:space="preserve"> (C1)</w:t>
      </w:r>
    </w:p>
    <w:p>
      <w:pPr>
        <w:pStyle w:val="a0"/>
      </w:pPr>
      <w:r>
        <w:t xml:space="preserve">0.642</w:t>
      </w:r>
    </w:p>
    <w:p>
      <w:pPr>
        <w:pStyle w:val="a0"/>
      </w:pPr>
      <w:r>
        <w:t xml:space="preserve">0.736</w:t>
      </w:r>
    </w:p>
    <w:p>
      <w:pPr>
        <w:pStyle w:val="a0"/>
      </w:pPr>
      <w:r>
        <w:rPr>
          <w:rFonts w:hint="eastAsia"/>
        </w:rPr>
        <w:t xml:space="preserve">~管理层战略重视度</w:t>
      </w:r>
      <w:r>
        <w:t xml:space="preserve"> (~C1)</w:t>
      </w:r>
    </w:p>
    <w:p>
      <w:pPr>
        <w:pStyle w:val="a0"/>
      </w:pPr>
      <w:r>
        <w:t xml:space="preserve">0.625</w:t>
      </w:r>
    </w:p>
    <w:p>
      <w:pPr>
        <w:pStyle w:val="a0"/>
      </w:pPr>
      <w:r>
        <w:t xml:space="preserve">0.651</w:t>
      </w:r>
    </w:p>
    <w:p>
      <w:pPr>
        <w:pStyle w:val="a0"/>
      </w:pPr>
      <w:r>
        <w:rPr>
          <w:rFonts w:hint="eastAsia"/>
        </w:rPr>
        <w:t xml:space="preserve">员工数字化素养</w:t>
      </w:r>
      <w:r>
        <w:t xml:space="preserve"> (C2)</w:t>
      </w:r>
    </w:p>
    <w:p>
      <w:pPr>
        <w:pStyle w:val="a0"/>
      </w:pPr>
      <w:r>
        <w:t xml:space="preserve">0.782</w:t>
      </w:r>
    </w:p>
    <w:p>
      <w:pPr>
        <w:pStyle w:val="a0"/>
      </w:pPr>
      <w:r>
        <w:t xml:space="preserve">0.841</w:t>
      </w:r>
    </w:p>
    <w:p>
      <w:pPr>
        <w:pStyle w:val="a0"/>
      </w:pPr>
      <w:r>
        <w:rPr>
          <w:rFonts w:hint="eastAsia"/>
        </w:rPr>
        <w:t xml:space="preserve">~员工数字化素养</w:t>
      </w:r>
      <w:r>
        <w:t xml:space="preserve"> (~C2)</w:t>
      </w:r>
    </w:p>
    <w:p>
      <w:pPr>
        <w:pStyle w:val="a0"/>
      </w:pPr>
      <w:r>
        <w:t xml:space="preserve">0.531</w:t>
      </w:r>
    </w:p>
    <w:p>
      <w:pPr>
        <w:pStyle w:val="a0"/>
      </w:pPr>
      <w:r>
        <w:t xml:space="preserve">0.564</w:t>
      </w:r>
    </w:p>
    <w:p>
      <w:pPr>
        <w:pStyle w:val="a0"/>
      </w:pPr>
      <w:r>
        <w:rPr>
          <w:rFonts w:hint="eastAsia"/>
        </w:rPr>
        <w:t xml:space="preserve">数据资产</w:t>
      </w:r>
    </w:p>
    <w:p>
      <w:pPr>
        <w:pStyle w:val="a0"/>
      </w:pPr>
      <w:r>
        <w:rPr>
          <w:rFonts w:hint="eastAsia"/>
        </w:rPr>
        <w:t xml:space="preserve">数据完整标准化程度</w:t>
      </w:r>
      <w:r>
        <w:t xml:space="preserve"> (D1)</w:t>
      </w:r>
    </w:p>
    <w:p>
      <w:pPr>
        <w:pStyle w:val="a0"/>
      </w:pPr>
      <w:r>
        <w:t xml:space="preserve">0.733</w:t>
      </w:r>
    </w:p>
    <w:p>
      <w:pPr>
        <w:pStyle w:val="a0"/>
      </w:pPr>
      <w:r>
        <w:t xml:space="preserve">0.615</w:t>
      </w:r>
    </w:p>
    <w:p>
      <w:pPr>
        <w:pStyle w:val="a0"/>
      </w:pPr>
      <w:r>
        <w:rPr>
          <w:rFonts w:hint="eastAsia"/>
        </w:rPr>
        <w:t xml:space="preserve">~数据完整标准化程度</w:t>
      </w:r>
      <w:r>
        <w:t xml:space="preserve"> (~D1)</w:t>
      </w:r>
    </w:p>
    <w:p>
      <w:pPr>
        <w:pStyle w:val="a0"/>
      </w:pPr>
      <w:r>
        <w:t xml:space="preserve">0.346</w:t>
      </w:r>
    </w:p>
    <w:p>
      <w:pPr>
        <w:pStyle w:val="a0"/>
      </w:pPr>
      <w:r>
        <w:t xml:space="preserve">0.629</w:t>
      </w:r>
    </w:p>
    <w:p>
      <w:pPr>
        <w:pStyle w:val="a0"/>
      </w:pPr>
      <w:r>
        <w:rPr>
          <w:rFonts w:hint="eastAsia"/>
        </w:rPr>
        <w:t xml:space="preserve">数字工具</w:t>
      </w:r>
    </w:p>
    <w:p>
      <w:pPr>
        <w:pStyle w:val="a0"/>
      </w:pPr>
      <w:r>
        <w:rPr>
          <w:rFonts w:hint="eastAsia"/>
        </w:rPr>
        <w:t xml:space="preserve">平台集成运维能力</w:t>
      </w:r>
      <w:r>
        <w:t xml:space="preserve"> (S1)</w:t>
      </w:r>
    </w:p>
    <w:p>
      <w:pPr>
        <w:pStyle w:val="a0"/>
      </w:pPr>
      <w:r>
        <w:t xml:space="preserve">0.745</w:t>
      </w:r>
    </w:p>
    <w:p>
      <w:pPr>
        <w:pStyle w:val="a0"/>
      </w:pPr>
      <w:r>
        <w:t xml:space="preserve">0.702</w:t>
      </w:r>
    </w:p>
    <w:p>
      <w:pPr>
        <w:pStyle w:val="a0"/>
      </w:pPr>
      <w:r>
        <w:rPr>
          <w:rFonts w:hint="eastAsia"/>
        </w:rPr>
        <w:t xml:space="preserve">~平台集成运维能力</w:t>
      </w:r>
      <w:r>
        <w:t xml:space="preserve"> (~S1)</w:t>
      </w:r>
    </w:p>
    <w:p>
      <w:pPr>
        <w:pStyle w:val="a0"/>
      </w:pPr>
      <w:r>
        <w:t xml:space="preserve">0.583</w:t>
      </w:r>
    </w:p>
    <w:p>
      <w:pPr>
        <w:pStyle w:val="a0"/>
      </w:pPr>
      <w:r>
        <w:t xml:space="preserve">0.647</w:t>
      </w:r>
    </w:p>
    <w:p>
      <w:pPr>
        <w:pStyle w:val="a0"/>
      </w:pPr>
      <w:r>
        <w:rPr>
          <w:rFonts w:hint="eastAsia"/>
        </w:rPr>
        <w:t xml:space="preserve">外部场景</w:t>
      </w:r>
    </w:p>
    <w:p>
      <w:pPr>
        <w:pStyle w:val="a0"/>
      </w:pPr>
      <w:r>
        <w:rPr>
          <w:rFonts w:hint="eastAsia"/>
        </w:rPr>
        <w:t xml:space="preserve">行业监管约束强度</w:t>
      </w:r>
      <w:r>
        <w:t xml:space="preserve"> (F1)</w:t>
      </w:r>
    </w:p>
    <w:p>
      <w:pPr>
        <w:pStyle w:val="a0"/>
      </w:pPr>
      <w:r>
        <w:t xml:space="preserve">0.794</w:t>
      </w:r>
    </w:p>
    <w:p>
      <w:pPr>
        <w:pStyle w:val="a0"/>
      </w:pPr>
      <w:r>
        <w:t xml:space="preserve">0.633</w:t>
      </w:r>
    </w:p>
    <w:p>
      <w:pPr>
        <w:pStyle w:val="a0"/>
      </w:pPr>
      <w:r>
        <w:rPr>
          <w:rFonts w:hint="eastAsia"/>
        </w:rPr>
        <w:t xml:space="preserve">~行业监管约束强度</w:t>
      </w:r>
      <w:r>
        <w:t xml:space="preserve"> (~F1)</w:t>
      </w:r>
    </w:p>
    <w:p>
      <w:pPr>
        <w:pStyle w:val="a0"/>
      </w:pPr>
      <w:r>
        <w:t xml:space="preserve">0.422</w:t>
      </w:r>
    </w:p>
    <w:p>
      <w:pPr>
        <w:pStyle w:val="a0"/>
      </w:pPr>
      <w:r>
        <w:t xml:space="preserve">0.541</w:t>
      </w:r>
    </w:p>
    <w:p>
      <w:pPr>
        <w:pStyle w:val="a0"/>
      </w:pPr>
      <w:r>
        <w:rPr>
          <w:rFonts w:hint="eastAsia"/>
        </w:rPr>
        <w:t xml:space="preserve">上下游协同资源</w:t>
      </w:r>
      <w:r>
        <w:t xml:space="preserve"> (F2)</w:t>
      </w:r>
    </w:p>
    <w:p>
      <w:pPr>
        <w:pStyle w:val="a0"/>
      </w:pPr>
      <w:r>
        <w:t xml:space="preserve">0.691</w:t>
      </w:r>
    </w:p>
    <w:p>
      <w:pPr>
        <w:pStyle w:val="a0"/>
      </w:pPr>
      <w:r>
        <w:t xml:space="preserve">0.728</w:t>
      </w:r>
    </w:p>
    <w:p>
      <w:pPr>
        <w:pStyle w:val="a0"/>
      </w:pPr>
      <w:r>
        <w:rPr>
          <w:rFonts w:hint="eastAsia"/>
        </w:rPr>
        <w:t xml:space="preserve">~上下游协同资源</w:t>
      </w:r>
      <w:r>
        <w:t xml:space="preserve"> (~F2)</w:t>
      </w:r>
    </w:p>
    <w:p>
      <w:pPr>
        <w:pStyle w:val="a0"/>
      </w:pPr>
      <w:r>
        <w:t xml:space="preserve">0.512</w:t>
      </w:r>
    </w:p>
    <w:p>
      <w:pPr>
        <w:pStyle w:val="a0"/>
      </w:pPr>
      <w:r>
        <w:t xml:space="preserve">0.593</w:t>
      </w:r>
    </w:p>
    <w:p>
      <w:pPr>
        <w:pStyle w:val="a0"/>
      </w:pPr>
      <w:r>
        <w:rPr>
          <w:rFonts w:hint="eastAsia"/>
        </w:rPr>
        <w:t xml:space="preserve">不过，现有研究也存在局限。其一，不少结论来自实验室或特定场景，跨文化稳定性仍待检验。其二，时间账户与情绪、身份角色、自我控制之间的因果关系还不够清晰。其三，数字平台中的时间分配高度碎片化，用户是否还会维持相对稳定的时间账户，值得继续观察。</w:t>
      </w:r>
    </w:p>
    <w:p>
      <w:pPr>
        <w:pStyle w:val="a0"/>
      </w:pPr>
      <w:r>
        <w:rPr>
          <w:rFonts w:hint="eastAsia"/>
        </w:rPr>
        <w:t xml:space="preserve">未来研究可沿三个方向推进。第一，结合经验抽样法与平台行为数据，识别时间账户的动态更新过程。第二，比较工作、家庭、学习和娱乐平台中的账户转移机制，考察不同制度与文化规范的调节作用</w:t>
      </w:r>
      <w:r>
        <w:rPr>
          <w:vertAlign w:val="superscript"/>
        </w:rPr>
        <w:t xml:space="preserve">[</w:t>
      </w:r>
      <w:hyperlink w:anchor="ref-WeiYongGang2023">
        <w:r>
          <w:rPr>
            <w:rStyle w:val="ae"/>
            <w:vertAlign w:val="superscript"/>
          </w:rPr>
          <w:t xml:space="preserve">2</w:t>
        </w:r>
      </w:hyperlink>
      <w:r>
        <w:rPr>
          <w:vertAlign w:val="superscript"/>
        </w:rPr>
        <w:t xml:space="preserve">]</w:t>
      </w:r>
      <w:r>
        <w:rPr>
          <w:rFonts w:hint="eastAsia"/>
        </w:rPr>
        <w:t xml:space="preserve">。第三，将时间心理账户与服务设计、广告投放、交通治理和个人时间管理结合，形成更具可操作性的干预方案。</w:t>
      </w:r>
    </w:p>
    <w:bookmarkEnd w:id="32"/>
    <w:bookmarkStart w:id="33" w:name="结论"/>
    <w:p>
      <w:pPr>
        <w:pStyle w:val="10"/>
      </w:pPr>
      <w:r>
        <w:t xml:space="preserve">5 </w:t>
      </w:r>
      <w:r>
        <w:rPr>
          <w:rFonts w:hint="eastAsia"/>
        </w:rPr>
        <w:t xml:space="preserve">结论</w:t>
      </w:r>
    </w:p>
    <w:p>
      <w:pPr>
        <w:pStyle w:val="FirstParagraph"/>
      </w:pPr>
      <w:r>
        <w:rPr>
          <w:rFonts w:hint="eastAsia"/>
        </w:rPr>
        <w:t xml:space="preserve">总体而言，时间心理账户为理解“为什么同样的时间长度会被赋予不同价值”提供了一个紧凑而有解释力的框架。它既揭示了时间与金钱在决策心理上的相通之处，也突出了时间作为过程性资源的独特约束。</w:t>
      </w:r>
    </w:p>
    <w:p>
      <w:pPr>
        <w:pStyle w:val="TableCaption"/>
      </w:pPr>
      <w:r>
        <w:rPr>
          <w:rFonts w:hint="eastAsia"/>
          <w:b/>
          <w:bCs/>
        </w:rPr>
        <w:t xml:space="preserve">表4</w:t>
      </w:r>
      <w:r>
        <w:rPr>
          <w:b/>
          <w:bCs/>
        </w:rPr>
        <w:t xml:space="preserve"> Markdown </w:t>
      </w:r>
      <w:r>
        <w:rPr>
          <w:rFonts w:hint="eastAsia"/>
          <w:b/>
          <w:bCs/>
        </w:rPr>
        <w:t xml:space="preserve">与</w:t>
      </w:r>
      <w:r>
        <w:rPr>
          <w:b/>
          <w:bCs/>
        </w:rPr>
        <w:t xml:space="preserve"> Word </w:t>
      </w:r>
      <w:r>
        <w:rPr>
          <w:rFonts w:hint="eastAsia"/>
          <w:b/>
          <w:bCs/>
        </w:rPr>
        <w:t xml:space="preserve">样式的对应关系</w:t>
      </w:r>
    </w:p>
    <w:tbl>
      <w:tblPr>
        <w:tblStyle w:val="Table"/>
        <w:tblW w:type="auto" w:w="0"/>
        <w:tblLook w:firstRow="1" w:lastRow="0" w:firstColumn="0" w:lastColumn="0" w:noHBand="0" w:noVBand="0" w:val="0020"/>
        <w:tblCaption w:val="表4 Markdown 与 Word 样式的对应关系"/>
      </w:tblPr>
      <w:tblGrid>
        <w:gridCol w:w="3960"/>
        <w:gridCol w:w="3960"/>
      </w:tblGrid>
      <w:tr>
        <w:trPr>
          <w:tblHeader w:val="on"/>
        </w:trPr>
        <w:tc>
          <w:tcPr/>
          <w:p>
            <w:pPr>
              <w:pStyle w:val="Compact"/>
            </w:pPr>
            <w:r>
              <w:t xml:space="preserve">Markdown / </w:t>
            </w:r>
            <w:r>
              <w:rPr>
                <w:rFonts w:hint="eastAsia"/>
              </w:rPr>
              <w:t xml:space="preserve">结构</w:t>
            </w:r>
          </w:p>
        </w:tc>
        <w:tc>
          <w:tcPr/>
          <w:p>
            <w:pPr>
              <w:pStyle w:val="Compact"/>
            </w:pPr>
            <w:r>
              <w:t xml:space="preserve">Word </w:t>
            </w:r>
            <w:r>
              <w:rPr>
                <w:rFonts w:hint="eastAsia"/>
              </w:rPr>
              <w:t xml:space="preserve">中对应样式</w:t>
            </w:r>
          </w:p>
        </w:tc>
      </w:tr>
      <w:tr>
        <w:tc>
          <w:tcPr/>
          <w:p>
            <w:pPr>
              <w:pStyle w:val="Compact"/>
            </w:pPr>
            <w:r>
              <w:rPr>
                <w:rFonts w:hint="eastAsia"/>
              </w:rPr>
              <w:t xml:space="preserve">普通正文段落</w:t>
            </w:r>
          </w:p>
        </w:tc>
        <w:tc>
          <w:tcPr/>
          <w:p>
            <w:pPr>
              <w:pStyle w:val="Compact"/>
            </w:pPr>
            <w:r>
              <w:rPr>
                <w:rStyle w:val="InlineCode"/>
              </w:rPr>
              <w:t xml:space="preserve">Body Text</w:t>
            </w:r>
            <w:r>
              <w:t xml:space="preserve"> </w:t>
            </w:r>
            <w:r>
              <w:t xml:space="preserve">/</w:t>
            </w:r>
            <w:r>
              <w:t xml:space="preserve"> </w:t>
            </w:r>
            <w:r>
              <w:rPr>
                <w:rStyle w:val="InlineCode"/>
              </w:rPr>
              <w:t xml:space="preserve">First Paragraph</w:t>
            </w:r>
          </w:p>
        </w:tc>
      </w:tr>
      <w:tr>
        <w:tc>
          <w:tcPr/>
          <w:p>
            <w:pPr>
              <w:pStyle w:val="Compact"/>
            </w:pPr>
            <w:r>
              <w:rPr>
                <w:rStyle w:val="InlineCode"/>
              </w:rPr>
              <w:t xml:space="preserve">#</w:t>
            </w:r>
            <w:r>
              <w:t xml:space="preserve"> </w:t>
            </w:r>
            <w:r>
              <w:rPr>
                <w:rFonts w:hint="eastAsia"/>
              </w:rPr>
              <w:t xml:space="preserve">到</w:t>
            </w:r>
            <w:r>
              <w:t xml:space="preserve"> </w:t>
            </w:r>
            <w:r>
              <w:rPr>
                <w:rStyle w:val="InlineCode"/>
              </w:rPr>
              <w:t xml:space="preserve">######</w:t>
            </w:r>
          </w:p>
        </w:tc>
        <w:tc>
          <w:tcPr/>
          <w:p>
            <w:pPr>
              <w:pStyle w:val="Compact"/>
            </w:pPr>
            <w:r>
              <w:rPr>
                <w:rStyle w:val="InlineCode"/>
              </w:rPr>
              <w:t xml:space="preserve">Heading 1</w:t>
            </w:r>
            <w:r>
              <w:t xml:space="preserve"> </w:t>
            </w:r>
            <w:r>
              <w:rPr>
                <w:rFonts w:hint="eastAsia"/>
              </w:rPr>
              <w:t xml:space="preserve">到</w:t>
            </w:r>
            <w:r>
              <w:t xml:space="preserve"> </w:t>
            </w:r>
            <w:r>
              <w:rPr>
                <w:rStyle w:val="InlineCode"/>
              </w:rPr>
              <w:t xml:space="preserve">Heading 6</w:t>
            </w:r>
          </w:p>
        </w:tc>
      </w:tr>
      <w:tr>
        <w:tc>
          <w:tcPr/>
          <w:p>
            <w:pPr>
              <w:pStyle w:val="Compact"/>
            </w:pPr>
            <w:r>
              <w:rPr>
                <w:rStyle w:val="InlineCode"/>
                <w:rFonts w:hint="eastAsia"/>
              </w:rPr>
              <w:t xml:space="preserve">表1</w:t>
            </w:r>
            <w:r>
              <w:rPr>
                <w:rStyle w:val="InlineCode"/>
              </w:rPr>
              <w:t xml:space="preserve"> ...</w:t>
            </w:r>
            <w:r>
              <w:t xml:space="preserve"> </w:t>
            </w:r>
            <w:r>
              <w:t xml:space="preserve">+ </w:t>
            </w:r>
            <w:r>
              <w:rPr>
                <w:rFonts w:hint="eastAsia"/>
              </w:rPr>
              <w:t xml:space="preserve">紧邻表格</w:t>
            </w:r>
          </w:p>
        </w:tc>
        <w:tc>
          <w:tcPr/>
          <w:p>
            <w:pPr>
              <w:pStyle w:val="Compact"/>
            </w:pPr>
            <w:r>
              <w:rPr>
                <w:rStyle w:val="InlineCode"/>
              </w:rPr>
              <w:t xml:space="preserve">TableCaption</w:t>
            </w:r>
          </w:p>
        </w:tc>
      </w:tr>
      <w:tr>
        <w:tc>
          <w:tcPr/>
          <w:p>
            <w:pPr>
              <w:pStyle w:val="Compact"/>
            </w:pPr>
            <w:r>
              <w:t xml:space="preserve">Markdown </w:t>
            </w:r>
            <w:r>
              <w:rPr>
                <w:rFonts w:hint="eastAsia"/>
              </w:rPr>
              <w:t xml:space="preserve">表格</w:t>
            </w:r>
            <w:r>
              <w:t xml:space="preserve"> / HTML </w:t>
            </w:r>
            <w:r>
              <w:rPr>
                <w:rFonts w:hint="eastAsia"/>
              </w:rPr>
              <w:t xml:space="preserve">表格</w:t>
            </w:r>
          </w:p>
        </w:tc>
        <w:tc>
          <w:tcPr/>
          <w:p>
            <w:pPr>
              <w:pStyle w:val="Compact"/>
            </w:pPr>
            <w:r>
              <w:rPr>
                <w:rStyle w:val="InlineCode"/>
              </w:rPr>
              <w:t xml:space="preserve">Table</w:t>
            </w:r>
          </w:p>
        </w:tc>
      </w:tr>
      <w:tr>
        <w:tc>
          <w:tcPr/>
          <w:p>
            <w:pPr>
              <w:pStyle w:val="Compact"/>
            </w:pPr>
            <w:r>
              <w:rPr>
                <w:rFonts w:hint="eastAsia"/>
              </w:rPr>
              <w:t xml:space="preserve">表格单元格文字</w:t>
            </w:r>
          </w:p>
        </w:tc>
        <w:tc>
          <w:tcPr/>
          <w:p>
            <w:pPr>
              <w:pStyle w:val="Compact"/>
            </w:pPr>
            <w:r>
              <w:rPr>
                <w:rStyle w:val="InlineCode"/>
              </w:rPr>
              <w:t xml:space="preserve">Compact</w:t>
            </w:r>
          </w:p>
        </w:tc>
      </w:tr>
      <w:tr>
        <w:tc>
          <w:tcPr/>
          <w:p>
            <w:pPr>
              <w:pStyle w:val="Compact"/>
            </w:pPr>
            <w:r>
              <w:rPr>
                <w:rFonts w:hint="eastAsia"/>
              </w:rPr>
              <w:t xml:space="preserve">图片</w:t>
            </w:r>
          </w:p>
        </w:tc>
        <w:tc>
          <w:tcPr/>
          <w:p>
            <w:pPr>
              <w:pStyle w:val="Compact"/>
            </w:pPr>
            <w:r>
              <w:rPr>
                <w:rStyle w:val="InlineCode"/>
              </w:rPr>
              <w:t xml:space="preserve">Captioned Figure</w:t>
            </w:r>
          </w:p>
        </w:tc>
      </w:tr>
      <w:tr>
        <w:tc>
          <w:tcPr/>
          <w:p>
            <w:pPr>
              <w:pStyle w:val="Compact"/>
            </w:pPr>
            <w:r>
              <w:rPr>
                <w:rFonts w:hint="eastAsia"/>
              </w:rPr>
              <w:t xml:space="preserve">图片</w:t>
            </w:r>
            <w:r>
              <w:t xml:space="preserve"> </w:t>
            </w:r>
            <w:r>
              <w:rPr>
                <w:rStyle w:val="InlineCode"/>
              </w:rPr>
              <w:t xml:space="preserve">title</w:t>
            </w:r>
            <w:r>
              <w:t xml:space="preserve"> </w:t>
            </w:r>
            <w:r>
              <w:rPr>
                <w:rFonts w:hint="eastAsia"/>
              </w:rPr>
              <w:t xml:space="preserve">或“图1</w:t>
            </w:r>
            <w:r>
              <w:t xml:space="preserve"> </w:t>
            </w:r>
            <w:r>
              <w:rPr>
                <w:rFonts w:hint="eastAsia"/>
              </w:rPr>
              <w:t xml:space="preserve">…”图注</w:t>
            </w:r>
          </w:p>
        </w:tc>
        <w:tc>
          <w:tcPr/>
          <w:p>
            <w:pPr>
              <w:pStyle w:val="Compact"/>
            </w:pPr>
            <w:r>
              <w:rPr>
                <w:rStyle w:val="InlineCode"/>
              </w:rPr>
              <w:t xml:space="preserve">Image Caption</w:t>
            </w:r>
          </w:p>
        </w:tc>
      </w:tr>
      <w:tr>
        <w:tc>
          <w:tcPr/>
          <w:p>
            <w:pPr>
              <w:pStyle w:val="Compact"/>
            </w:pPr>
            <w:r>
              <w:rPr>
                <w:rFonts w:hint="eastAsia"/>
              </w:rPr>
              <w:t xml:space="preserve">引用块</w:t>
            </w:r>
            <w:r>
              <w:t xml:space="preserve"> </w:t>
            </w:r>
            <w:r>
              <w:rPr>
                <w:rStyle w:val="InlineCode"/>
              </w:rPr>
              <w:t xml:space="preserve">&gt;</w:t>
            </w:r>
          </w:p>
        </w:tc>
        <w:tc>
          <w:tcPr/>
          <w:p>
            <w:pPr>
              <w:pStyle w:val="Compact"/>
            </w:pPr>
            <w:r>
              <w:rPr>
                <w:rStyle w:val="InlineCode"/>
              </w:rPr>
              <w:t xml:space="preserve">Block Text</w:t>
            </w:r>
          </w:p>
        </w:tc>
      </w:tr>
      <w:tr>
        <w:tc>
          <w:tcPr/>
          <w:p>
            <w:pPr>
              <w:pStyle w:val="Compact"/>
            </w:pPr>
            <w:r>
              <w:rPr>
                <w:rFonts w:hint="eastAsia"/>
              </w:rPr>
              <w:t xml:space="preserve">代码块</w:t>
            </w:r>
          </w:p>
        </w:tc>
        <w:tc>
          <w:tcPr/>
          <w:p>
            <w:pPr>
              <w:pStyle w:val="Compact"/>
            </w:pPr>
            <w:r>
              <w:rPr>
                <w:rStyle w:val="InlineCode"/>
              </w:rPr>
              <w:t xml:space="preserve">Source Code</w:t>
            </w:r>
          </w:p>
        </w:tc>
      </w:tr>
      <w:tr>
        <w:tc>
          <w:tcPr/>
          <w:p>
            <w:pPr>
              <w:pStyle w:val="Compact"/>
            </w:pPr>
            <w:r>
              <w:rPr>
                <w:rFonts w:hint="eastAsia"/>
              </w:rPr>
              <w:t xml:space="preserve">行内代码</w:t>
            </w:r>
            <w:r>
              <w:t xml:space="preserve"> </w:t>
            </w:r>
            <w:r>
              <w:rPr>
                <w:rStyle w:val="InlineCode"/>
              </w:rPr>
              <w:t xml:space="preserve">code</w:t>
            </w:r>
          </w:p>
        </w:tc>
        <w:tc>
          <w:tcPr/>
          <w:p>
            <w:pPr>
              <w:pStyle w:val="Compact"/>
            </w:pPr>
            <w:r>
              <w:rPr>
                <w:rStyle w:val="InlineCode"/>
              </w:rPr>
              <w:t xml:space="preserve">Inline Code</w:t>
            </w:r>
          </w:p>
        </w:tc>
      </w:tr>
    </w:tbl>
    <w:bookmarkEnd w:id="33"/>
    <w:bookmarkStart w:id="54" w:name="参考文献"/>
    <w:p>
      <w:pPr>
        <w:pStyle w:val="10"/>
      </w:pPr>
      <w:r>
        <w:rPr>
          <w:rFonts w:hint="eastAsia"/>
        </w:rPr>
        <w:t xml:space="preserve">参考文献</w:t>
      </w:r>
    </w:p>
    <w:bookmarkStart w:id="53" w:name="refs"/>
    <w:bookmarkStart w:id="35" w:name="ref-Rajagopal2009"/>
    <w:p>
      <w:pPr>
        <w:pStyle w:val="a8"/>
      </w:pPr>
      <w:r>
        <w:t xml:space="preserve">[1]</w:t>
      </w:r>
      <w:r>
        <w:t xml:space="preserve"> </w:t>
      </w:r>
      <w:r>
        <w:t xml:space="preserve">	</w:t>
      </w:r>
      <w:r>
        <w:t xml:space="preserve">RAJAGOPAL P, RHA J Y. The Mental Accounting of Time[J/OL]. Journal of Economic Psychology, 2009, 30(5): 772-781[2025-02-19]. DOI:</w:t>
      </w:r>
      <w:hyperlink r:id="rId34">
        <w:r>
          <w:rPr>
            <w:rStyle w:val="ae"/>
          </w:rPr>
          <w:t xml:space="preserve">10.1016/j.joep.2009.06.008</w:t>
        </w:r>
      </w:hyperlink>
      <w:r>
        <w:t xml:space="preserve">.</w:t>
      </w:r>
    </w:p>
    <w:bookmarkEnd w:id="35"/>
    <w:bookmarkStart w:id="36" w:name="ref-WeiYongGang2023"/>
    <w:p>
      <w:pPr>
        <w:pStyle w:val="a8"/>
      </w:pPr>
      <w:r>
        <w:t xml:space="preserve">[2]</w:t>
      </w:r>
      <w:r>
        <w:t xml:space="preserve"> </w:t>
      </w:r>
      <w:r>
        <w:t xml:space="preserve">	</w:t>
      </w:r>
      <w:r>
        <w:rPr>
          <w:rFonts w:hint="eastAsia"/>
        </w:rPr>
        <w:t xml:space="preserve">魏勇刚,</w:t>
      </w:r>
      <w:r>
        <w:t xml:space="preserve"> </w:t>
      </w:r>
      <w:r>
        <w:rPr>
          <w:rFonts w:hint="eastAsia"/>
        </w:rPr>
        <w:t xml:space="preserve">唐银灿,</w:t>
      </w:r>
      <w:r>
        <w:t xml:space="preserve"> </w:t>
      </w:r>
      <w:r>
        <w:rPr>
          <w:rFonts w:hint="eastAsia"/>
        </w:rPr>
        <w:t xml:space="preserve">王晓曦.</w:t>
      </w:r>
      <w:r>
        <w:t xml:space="preserve"> </w:t>
      </w:r>
      <w:r>
        <w:rPr>
          <w:rFonts w:hint="eastAsia"/>
        </w:rPr>
        <w:t xml:space="preserve">时间心理账户的特征及其研究范式</w:t>
      </w:r>
      <w:r>
        <w:t xml:space="preserve">[J]. </w:t>
      </w:r>
      <w:r>
        <w:rPr>
          <w:rFonts w:hint="eastAsia"/>
        </w:rPr>
        <w:t xml:space="preserve">心理学探新,</w:t>
      </w:r>
      <w:r>
        <w:t xml:space="preserve"> 2023, 43(5): 449-454.</w:t>
      </w:r>
    </w:p>
    <w:bookmarkEnd w:id="36"/>
    <w:bookmarkStart w:id="37" w:name="ref-ZhangJunWei2010"/>
    <w:p>
      <w:pPr>
        <w:pStyle w:val="a8"/>
      </w:pPr>
      <w:r>
        <w:t xml:space="preserve">[3]</w:t>
      </w:r>
      <w:r>
        <w:t xml:space="preserve"> </w:t>
      </w:r>
      <w:r>
        <w:t xml:space="preserve">	</w:t>
      </w:r>
      <w:r>
        <w:rPr>
          <w:rFonts w:hint="eastAsia"/>
        </w:rPr>
        <w:t xml:space="preserve">张军伟,</w:t>
      </w:r>
      <w:r>
        <w:t xml:space="preserve"> </w:t>
      </w:r>
      <w:r>
        <w:rPr>
          <w:rFonts w:hint="eastAsia"/>
        </w:rPr>
        <w:t xml:space="preserve">徐富明,</w:t>
      </w:r>
      <w:r>
        <w:t xml:space="preserve"> </w:t>
      </w:r>
      <w:r>
        <w:rPr>
          <w:rFonts w:hint="eastAsia"/>
        </w:rPr>
        <w:t xml:space="preserve">刘腾飞,</w:t>
      </w:r>
      <w:r>
        <w:t xml:space="preserve"> </w:t>
      </w:r>
      <w:r>
        <w:rPr>
          <w:rFonts w:hint="eastAsia"/>
        </w:rPr>
        <w:t xml:space="preserve">等.</w:t>
      </w:r>
      <w:r>
        <w:t xml:space="preserve"> </w:t>
      </w:r>
      <w:r>
        <w:rPr>
          <w:rFonts w:hint="eastAsia"/>
        </w:rPr>
        <w:t xml:space="preserve">行为决策中作为价值的时间:基于与金钱的比较</w:t>
      </w:r>
      <w:r>
        <w:t xml:space="preserve">[J]. </w:t>
      </w:r>
      <w:r>
        <w:rPr>
          <w:rFonts w:hint="eastAsia"/>
        </w:rPr>
        <w:t xml:space="preserve">心理科学进展,</w:t>
      </w:r>
      <w:r>
        <w:t xml:space="preserve"> 2010, 18(10): 1574-1579.</w:t>
      </w:r>
    </w:p>
    <w:bookmarkEnd w:id="37"/>
    <w:bookmarkStart w:id="39" w:name="ref-Tversky1981"/>
    <w:p>
      <w:pPr>
        <w:pStyle w:val="a8"/>
      </w:pPr>
      <w:r>
        <w:t xml:space="preserve">[4]</w:t>
      </w:r>
      <w:r>
        <w:t xml:space="preserve"> </w:t>
      </w:r>
      <w:r>
        <w:t xml:space="preserve">	</w:t>
      </w:r>
      <w:r>
        <w:t xml:space="preserve">TVERSKY A, KAHNEMAN D. The Framing of Decisions and the Psychology of Choice[J/OL]. Science, 1981, 211(4481): 453-458[2025-06-19]. DOI:</w:t>
      </w:r>
      <w:hyperlink r:id="rId38">
        <w:r>
          <w:rPr>
            <w:rStyle w:val="ae"/>
          </w:rPr>
          <w:t xml:space="preserve">10.1126/science.7455683</w:t>
        </w:r>
      </w:hyperlink>
      <w:r>
        <w:t xml:space="preserve">.</w:t>
      </w:r>
    </w:p>
    <w:bookmarkEnd w:id="39"/>
    <w:bookmarkStart w:id="41" w:name="ref-Liu2021"/>
    <w:p>
      <w:pPr>
        <w:pStyle w:val="a8"/>
      </w:pPr>
      <w:r>
        <w:t xml:space="preserve">[5]</w:t>
      </w:r>
      <w:r>
        <w:t xml:space="preserve"> </w:t>
      </w:r>
      <w:r>
        <w:t xml:space="preserve">	</w:t>
      </w:r>
      <w:r>
        <w:t xml:space="preserve">LIU S, ZHU J, EASA S M, </w:t>
      </w:r>
      <w:r>
        <w:rPr>
          <w:rFonts w:hint="eastAsia"/>
        </w:rPr>
        <w:t xml:space="preserve">等.</w:t>
      </w:r>
      <w:r>
        <w:t xml:space="preserve"> Travel Choice Behavior Model Based on Mental Accounting of Travel Time and Cost[J/OL]. Journal of Advanced Transportation, 2021, 2021(1): 1-21[2025-05-19]. DOI:</w:t>
      </w:r>
      <w:hyperlink r:id="rId40">
        <w:r>
          <w:rPr>
            <w:rStyle w:val="ae"/>
          </w:rPr>
          <w:t xml:space="preserve">10.1155/2021/4219396</w:t>
        </w:r>
      </w:hyperlink>
      <w:r>
        <w:t xml:space="preserve">.</w:t>
      </w:r>
    </w:p>
    <w:bookmarkEnd w:id="41"/>
    <w:bookmarkStart w:id="42" w:name="ref-Saini2008"/>
    <w:p>
      <w:pPr>
        <w:pStyle w:val="a8"/>
      </w:pPr>
      <w:r>
        <w:t xml:space="preserve">[6]</w:t>
      </w:r>
      <w:r>
        <w:t xml:space="preserve"> </w:t>
      </w:r>
      <w:r>
        <w:t xml:space="preserve">	</w:t>
      </w:r>
      <w:r>
        <w:t xml:space="preserve">SAINI R, MONGA A. How</w:t>
      </w:r>
      <w:r>
        <w:t xml:space="preserve"> </w:t>
      </w:r>
      <w:r>
        <w:t xml:space="preserve">I</w:t>
      </w:r>
      <w:r>
        <w:t xml:space="preserve"> </w:t>
      </w:r>
      <w:r>
        <w:t xml:space="preserve">Decide Depends on What</w:t>
      </w:r>
      <w:r>
        <w:t xml:space="preserve"> </w:t>
      </w:r>
      <w:r>
        <w:t xml:space="preserve">I</w:t>
      </w:r>
      <w:r>
        <w:t xml:space="preserve"> </w:t>
      </w:r>
      <w:r>
        <w:t xml:space="preserve">Spend: Use of Heuristics Is Greater for Time than for Money[J]. Journal of Consumer Research, 2008, 34(6): 914-922.</w:t>
      </w:r>
    </w:p>
    <w:bookmarkEnd w:id="42"/>
    <w:bookmarkStart w:id="43" w:name="ref-Okada2004"/>
    <w:p>
      <w:pPr>
        <w:pStyle w:val="a8"/>
      </w:pPr>
      <w:r>
        <w:t xml:space="preserve">[7]</w:t>
      </w:r>
      <w:r>
        <w:t xml:space="preserve"> </w:t>
      </w:r>
      <w:r>
        <w:t xml:space="preserve">	</w:t>
      </w:r>
      <w:r>
        <w:t xml:space="preserve">OKADA E M, HOCH S J. Spending Time versus Spending Money[J]. Journal of Consumer Research, 2004, 31(2): 313-323.</w:t>
      </w:r>
    </w:p>
    <w:bookmarkEnd w:id="43"/>
    <w:bookmarkStart w:id="45" w:name="ref-Leclerc1995"/>
    <w:p>
      <w:pPr>
        <w:pStyle w:val="a8"/>
      </w:pPr>
      <w:r>
        <w:t xml:space="preserve">[8]</w:t>
      </w:r>
      <w:r>
        <w:t xml:space="preserve"> </w:t>
      </w:r>
      <w:r>
        <w:t xml:space="preserve">	</w:t>
      </w:r>
      <w:r>
        <w:t xml:space="preserve">LECLERC F, SCHMITT B H, DUBE L. Waiting Time and Decision Making: Is Time like Money?[J/OL]. Journal of Consumer Research, 1995, 22(1): 110[2025-03-03]. DOI:</w:t>
      </w:r>
      <w:hyperlink r:id="rId44">
        <w:r>
          <w:rPr>
            <w:rStyle w:val="ae"/>
          </w:rPr>
          <w:t xml:space="preserve">10.1086/209439</w:t>
        </w:r>
      </w:hyperlink>
      <w:r>
        <w:t xml:space="preserve">.</w:t>
      </w:r>
    </w:p>
    <w:bookmarkEnd w:id="45"/>
    <w:bookmarkStart w:id="46" w:name="ref-Chang2014"/>
    <w:p>
      <w:pPr>
        <w:pStyle w:val="a8"/>
      </w:pPr>
      <w:r>
        <w:t xml:space="preserve">[9]</w:t>
      </w:r>
      <w:r>
        <w:t xml:space="preserve"> </w:t>
      </w:r>
      <w:r>
        <w:t xml:space="preserve">	</w:t>
      </w:r>
      <w:r>
        <w:t xml:space="preserve">CHANG C C, CHEN P Y. When Integration Works Better than Segregation Does in Multiple-Gain Situations: The Revised Coding Rules in Mental Accounting[C]//Proceedings of</w:t>
      </w:r>
      <w:r>
        <w:t xml:space="preserve"> </w:t>
      </w:r>
      <w:r>
        <w:t xml:space="preserve">PICMET</w:t>
      </w:r>
      <w:r>
        <w:t xml:space="preserve">’14</w:t>
      </w:r>
      <w:r>
        <w:t xml:space="preserve"> </w:t>
      </w:r>
      <w:r>
        <w:t xml:space="preserve">Conference</w:t>
      </w:r>
      <w:r>
        <w:t xml:space="preserve">:</w:t>
      </w:r>
      <w:r>
        <w:t xml:space="preserve"> </w:t>
      </w:r>
      <w:r>
        <w:t xml:space="preserve">Portland International Center</w:t>
      </w:r>
      <w:r>
        <w:t xml:space="preserve"> </w:t>
      </w:r>
      <w:r>
        <w:t xml:space="preserve">for</w:t>
      </w:r>
      <w:r>
        <w:t xml:space="preserve"> </w:t>
      </w:r>
      <w:r>
        <w:t xml:space="preserve">Management</w:t>
      </w:r>
      <w:r>
        <w:t xml:space="preserve"> </w:t>
      </w:r>
      <w:r>
        <w:t xml:space="preserve">of</w:t>
      </w:r>
      <w:r>
        <w:t xml:space="preserve"> </w:t>
      </w:r>
      <w:r>
        <w:t xml:space="preserve">Engineering</w:t>
      </w:r>
      <w:r>
        <w:t xml:space="preserve"> </w:t>
      </w:r>
      <w:r>
        <w:t xml:space="preserve">and</w:t>
      </w:r>
      <w:r>
        <w:t xml:space="preserve"> </w:t>
      </w:r>
      <w:r>
        <w:t xml:space="preserve">Technology</w:t>
      </w:r>
      <w:r>
        <w:t xml:space="preserve">;</w:t>
      </w:r>
      <w:r>
        <w:t xml:space="preserve"> </w:t>
      </w:r>
      <w:r>
        <w:t xml:space="preserve">Infrastructure</w:t>
      </w:r>
      <w:r>
        <w:t xml:space="preserve"> </w:t>
      </w:r>
      <w:r>
        <w:t xml:space="preserve">and</w:t>
      </w:r>
      <w:r>
        <w:t xml:space="preserve"> </w:t>
      </w:r>
      <w:r>
        <w:t xml:space="preserve">Service Integration</w:t>
      </w:r>
      <w:r>
        <w:t xml:space="preserve">. IEEE, 2014: 542-554.</w:t>
      </w:r>
    </w:p>
    <w:bookmarkEnd w:id="46"/>
    <w:bookmarkStart w:id="47" w:name="ref-Evers2022"/>
    <w:p>
      <w:pPr>
        <w:pStyle w:val="a8"/>
      </w:pPr>
      <w:r>
        <w:t xml:space="preserve">[10]</w:t>
      </w:r>
      <w:r>
        <w:t xml:space="preserve"> </w:t>
      </w:r>
      <w:r>
        <w:t xml:space="preserve">	</w:t>
      </w:r>
      <w:r>
        <w:t xml:space="preserve">EVERS E R, IMAS A, KANG C. On the Role of Similarity in Mental Accounting and Hedonic Editing[J]. Psychological Review, 2022, 129(4): 777.</w:t>
      </w:r>
    </w:p>
    <w:bookmarkEnd w:id="47"/>
    <w:bookmarkStart w:id="48" w:name="ref-LiAiMei2014"/>
    <w:p>
      <w:pPr>
        <w:pStyle w:val="a8"/>
      </w:pPr>
      <w:r>
        <w:t xml:space="preserve">[11]</w:t>
      </w:r>
      <w:r>
        <w:t xml:space="preserve"> </w:t>
      </w:r>
      <w:r>
        <w:t xml:space="preserve">	</w:t>
      </w:r>
      <w:r>
        <w:rPr>
          <w:rFonts w:hint="eastAsia"/>
        </w:rPr>
        <w:t xml:space="preserve">李爱梅,</w:t>
      </w:r>
      <w:r>
        <w:t xml:space="preserve"> </w:t>
      </w:r>
      <w:r>
        <w:rPr>
          <w:rFonts w:hint="eastAsia"/>
        </w:rPr>
        <w:t xml:space="preserve">赵丹,</w:t>
      </w:r>
      <w:r>
        <w:t xml:space="preserve"> </w:t>
      </w:r>
      <w:r>
        <w:rPr>
          <w:rFonts w:hint="eastAsia"/>
        </w:rPr>
        <w:t xml:space="preserve">熊冠星,</w:t>
      </w:r>
      <w:r>
        <w:t xml:space="preserve"> </w:t>
      </w:r>
      <w:r>
        <w:rPr>
          <w:rFonts w:hint="eastAsia"/>
        </w:rPr>
        <w:t xml:space="preserve">等.</w:t>
      </w:r>
      <w:r>
        <w:t xml:space="preserve"> </w:t>
      </w:r>
      <w:r>
        <w:rPr>
          <w:rFonts w:hint="eastAsia"/>
        </w:rPr>
        <w:t xml:space="preserve">等待是一种折磨?等待时间知觉及其导致的非理性决策行为</w:t>
      </w:r>
      <w:r>
        <w:t xml:space="preserve">[J]. </w:t>
      </w:r>
      <w:r>
        <w:rPr>
          <w:rFonts w:hint="eastAsia"/>
        </w:rPr>
        <w:t xml:space="preserve">心理科学进展,</w:t>
      </w:r>
      <w:r>
        <w:t xml:space="preserve"> 2014, 22(11): 1679-1690.</w:t>
      </w:r>
    </w:p>
    <w:bookmarkEnd w:id="48"/>
    <w:bookmarkStart w:id="50" w:name="ref-Kim2023"/>
    <w:p>
      <w:pPr>
        <w:pStyle w:val="a8"/>
      </w:pPr>
      <w:r>
        <w:t xml:space="preserve">[12]</w:t>
      </w:r>
      <w:r>
        <w:t xml:space="preserve"> </w:t>
      </w:r>
      <w:r>
        <w:t xml:space="preserve">	</w:t>
      </w:r>
      <w:r>
        <w:t xml:space="preserve">KIM H L, KIM Y G, YOON S H, </w:t>
      </w:r>
      <w:r>
        <w:rPr>
          <w:rFonts w:hint="eastAsia"/>
        </w:rPr>
        <w:t xml:space="preserve">等.</w:t>
      </w:r>
      <w:r>
        <w:t xml:space="preserve"> Effect of Media Context on Avoidance of Skippable Pre-Roll Ads in Online Video Platform: A Mental Accounting of Time Perspective[J/OL]. Journal of Business Research, 2023, 164: 113966-113979[2025-03-09]. DOI:</w:t>
      </w:r>
      <w:hyperlink r:id="rId49">
        <w:r>
          <w:rPr>
            <w:rStyle w:val="ae"/>
          </w:rPr>
          <w:t xml:space="preserve">10.1016/j.jbusres.2023.113966</w:t>
        </w:r>
      </w:hyperlink>
      <w:r>
        <w:t xml:space="preserve">.</w:t>
      </w:r>
    </w:p>
    <w:bookmarkEnd w:id="50"/>
    <w:bookmarkStart w:id="52" w:name="ref-ZhangBo2013"/>
    <w:p>
      <w:pPr>
        <w:pStyle w:val="a8"/>
      </w:pPr>
      <w:r>
        <w:t xml:space="preserve">[13]</w:t>
      </w:r>
      <w:r>
        <w:t xml:space="preserve"> </w:t>
      </w:r>
      <w:r>
        <w:t xml:space="preserve">	</w:t>
      </w:r>
      <w:r>
        <w:rPr>
          <w:rFonts w:hint="eastAsia"/>
        </w:rPr>
        <w:t xml:space="preserve">张波,</w:t>
      </w:r>
      <w:r>
        <w:t xml:space="preserve"> </w:t>
      </w:r>
      <w:r>
        <w:rPr>
          <w:rFonts w:hint="eastAsia"/>
        </w:rPr>
        <w:t xml:space="preserve">隽志才,</w:t>
      </w:r>
      <w:r>
        <w:t xml:space="preserve"> </w:t>
      </w:r>
      <w:r>
        <w:rPr>
          <w:rFonts w:hint="eastAsia"/>
        </w:rPr>
        <w:t xml:space="preserve">倪安宁.</w:t>
      </w:r>
      <w:r>
        <w:t xml:space="preserve"> </w:t>
      </w:r>
      <w:r>
        <w:rPr>
          <w:rFonts w:hint="eastAsia"/>
        </w:rPr>
        <w:t xml:space="preserve">前景理论在出行行为研究中的适用性</w:t>
      </w:r>
      <w:r>
        <w:t xml:space="preserve">[J/OL]. </w:t>
      </w:r>
      <w:r>
        <w:rPr>
          <w:rFonts w:hint="eastAsia"/>
        </w:rPr>
        <w:t xml:space="preserve">北京理工大学学报（社会科学版）,</w:t>
      </w:r>
      <w:r>
        <w:t xml:space="preserve"> 2013, 15(1): 54-62[2025-06-19]. DOI:</w:t>
      </w:r>
      <w:hyperlink r:id="rId51">
        <w:r>
          <w:rPr>
            <w:rStyle w:val="ae"/>
          </w:rPr>
          <w:t xml:space="preserve">10.15918/j.jbitss1009-3370.2013.01.005</w:t>
        </w:r>
      </w:hyperlink>
      <w:r>
        <w:t xml:space="preserve">.</w:t>
      </w:r>
    </w:p>
    <w:bookmarkEnd w:id="52"/>
    <w:bookmarkEnd w:id="53"/>
    <w:bookmarkEnd w:id="54"/>
    <w:sectPr w:rsidR="00620A0C" w:rsidRPr="00620A0C" w:rsidSect="00C47116">
      <w:footerReference r:id="rId10" w:type="default"/>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altName w:val="Fira Code"/>
    <w:charset w:val="00"/>
    <w:family w:val="modern"/>
    <w:pitch w:val="fixed"/>
    <w:sig w:usb0="E00002EF" w:usb1="1200F8FB" w:usb2="0000000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3818139"/>
      <w:docPartObj>
        <w:docPartGallery w:val="Page Numbers (Bottom of Page)"/>
        <w:docPartUnique/>
      </w:docPartObj>
    </w:sdtPr>
    <w:sdtEndPr/>
    <w:sdtContent>
      <w:p w14:paraId="542A371B" w14:textId="77777777" w:rsidR="00E1645B" w:rsidRDefault="009013F6">
        <w:pPr>
          <w:pStyle w:val="af1"/>
          <w:ind w:firstLine="360"/>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ind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D1FE7BC0"/>
    <w:lvl w:ilvl="0">
      <w:start w:val="1"/>
      <w:numFmt w:val="decimal"/>
      <w:lvlText w:val="%1."/>
      <w:lvlJc w:val="left"/>
      <w:pPr>
        <w:tabs>
          <w:tab w:pos="2040" w:val="num"/>
        </w:tabs>
        <w:ind w:hanging="360" w:hangingChars="200" w:left="2040" w:leftChars="800"/>
      </w:pPr>
    </w:lvl>
  </w:abstractNum>
  <w:abstractNum w15:restartNumberingAfterBreak="0" w:abstractNumId="1">
    <w:nsid w:val="FFFFFF7D"/>
    <w:multiLevelType w:val="singleLevel"/>
    <w:tmpl w:val="F7E00518"/>
    <w:lvl w:ilvl="0">
      <w:start w:val="1"/>
      <w:numFmt w:val="decimal"/>
      <w:lvlText w:val="%1."/>
      <w:lvlJc w:val="left"/>
      <w:pPr>
        <w:tabs>
          <w:tab w:pos="1620" w:val="num"/>
        </w:tabs>
        <w:ind w:hanging="360" w:hangingChars="200" w:left="1620" w:leftChars="600"/>
      </w:pPr>
    </w:lvl>
  </w:abstractNum>
  <w:abstractNum w15:restartNumberingAfterBreak="0" w:abstractNumId="2">
    <w:nsid w:val="FFFFFF7E"/>
    <w:multiLevelType w:val="singleLevel"/>
    <w:tmpl w:val="91D289B8"/>
    <w:lvl w:ilvl="0">
      <w:start w:val="1"/>
      <w:numFmt w:val="decimal"/>
      <w:lvlText w:val="%1."/>
      <w:lvlJc w:val="left"/>
      <w:pPr>
        <w:tabs>
          <w:tab w:pos="1200" w:val="num"/>
        </w:tabs>
        <w:ind w:hanging="360" w:hangingChars="200" w:left="1200" w:leftChars="400"/>
      </w:pPr>
    </w:lvl>
  </w:abstractNum>
  <w:abstractNum w15:restartNumberingAfterBreak="0" w:abstractNumId="3">
    <w:nsid w:val="FFFFFF7F"/>
    <w:multiLevelType w:val="singleLevel"/>
    <w:tmpl w:val="EBD4B104"/>
    <w:lvl w:ilvl="0">
      <w:start w:val="1"/>
      <w:numFmt w:val="decimal"/>
      <w:lvlText w:val="%1."/>
      <w:lvlJc w:val="left"/>
      <w:pPr>
        <w:tabs>
          <w:tab w:pos="780" w:val="num"/>
        </w:tabs>
        <w:ind w:hanging="360" w:hangingChars="200" w:left="780" w:leftChars="200"/>
      </w:pPr>
    </w:lvl>
  </w:abstractNum>
  <w:abstractNum w15:restartNumberingAfterBreak="0" w:abstractNumId="4">
    <w:nsid w:val="FFFFFF80"/>
    <w:multiLevelType w:val="singleLevel"/>
    <w:tmpl w:val="312272A2"/>
    <w:lvl w:ilvl="0">
      <w:start w:val="1"/>
      <w:numFmt w:val="bullet"/>
      <w:lvlText w:val=""/>
      <w:lvlJc w:val="left"/>
      <w:pPr>
        <w:tabs>
          <w:tab w:pos="2040" w:val="num"/>
        </w:tabs>
        <w:ind w:hanging="360" w:hangingChars="200" w:left="2040" w:leftChars="800"/>
      </w:pPr>
      <w:rPr>
        <w:rFonts w:ascii="Wingdings" w:hAnsi="Wingdings" w:hint="default"/>
      </w:rPr>
    </w:lvl>
  </w:abstractNum>
  <w:abstractNum w15:restartNumberingAfterBreak="0" w:abstractNumId="5">
    <w:nsid w:val="FFFFFF81"/>
    <w:multiLevelType w:val="singleLevel"/>
    <w:tmpl w:val="F836B8C0"/>
    <w:lvl w:ilvl="0">
      <w:start w:val="1"/>
      <w:numFmt w:val="bullet"/>
      <w:lvlText w:val=""/>
      <w:lvlJc w:val="left"/>
      <w:pPr>
        <w:tabs>
          <w:tab w:pos="1620" w:val="num"/>
        </w:tabs>
        <w:ind w:hanging="360" w:hangingChars="200" w:left="1620" w:leftChars="600"/>
      </w:pPr>
      <w:rPr>
        <w:rFonts w:ascii="Wingdings" w:hAnsi="Wingdings" w:hint="default"/>
      </w:rPr>
    </w:lvl>
  </w:abstractNum>
  <w:abstractNum w15:restartNumberingAfterBreak="0" w:abstractNumId="6">
    <w:nsid w:val="FFFFFF82"/>
    <w:multiLevelType w:val="singleLevel"/>
    <w:tmpl w:val="2818A816"/>
    <w:lvl w:ilvl="0">
      <w:start w:val="1"/>
      <w:numFmt w:val="bullet"/>
      <w:lvlText w:val=""/>
      <w:lvlJc w:val="left"/>
      <w:pPr>
        <w:tabs>
          <w:tab w:pos="1200" w:val="num"/>
        </w:tabs>
        <w:ind w:hanging="360" w:hangingChars="200" w:left="1200" w:leftChars="400"/>
      </w:pPr>
      <w:rPr>
        <w:rFonts w:ascii="Wingdings" w:hAnsi="Wingdings" w:hint="default"/>
      </w:rPr>
    </w:lvl>
  </w:abstractNum>
  <w:abstractNum w15:restartNumberingAfterBreak="0" w:abstractNumId="7">
    <w:nsid w:val="FFFFFF83"/>
    <w:multiLevelType w:val="singleLevel"/>
    <w:tmpl w:val="1018DC9E"/>
    <w:lvl w:ilvl="0">
      <w:start w:val="1"/>
      <w:numFmt w:val="bullet"/>
      <w:lvlText w:val=""/>
      <w:lvlJc w:val="left"/>
      <w:pPr>
        <w:tabs>
          <w:tab w:pos="780" w:val="num"/>
        </w:tabs>
        <w:ind w:hanging="360" w:hangingChars="200" w:left="780" w:leftChars="200"/>
      </w:pPr>
      <w:rPr>
        <w:rFonts w:ascii="Wingdings" w:hAnsi="Wingdings" w:hint="default"/>
      </w:rPr>
    </w:lvl>
  </w:abstractNum>
  <w:abstractNum w15:restartNumberingAfterBreak="0" w:abstractNumId="8">
    <w:nsid w:val="FFFFFF88"/>
    <w:multiLevelType w:val="singleLevel"/>
    <w:tmpl w:val="BC2C6938"/>
    <w:lvl w:ilvl="0">
      <w:start w:val="1"/>
      <w:numFmt w:val="decimal"/>
      <w:lvlText w:val="%1."/>
      <w:lvlJc w:val="left"/>
      <w:pPr>
        <w:tabs>
          <w:tab w:pos="360" w:val="num"/>
        </w:tabs>
        <w:ind w:hanging="360" w:hangingChars="200" w:left="360"/>
      </w:pPr>
    </w:lvl>
  </w:abstractNum>
  <w:abstractNum w15:restartNumberingAfterBreak="0" w:abstractNumId="9">
    <w:nsid w:val="FFFFFF89"/>
    <w:multiLevelType w:val="singleLevel"/>
    <w:tmpl w:val="028616CC"/>
    <w:lvl w:ilvl="0">
      <w:start w:val="1"/>
      <w:numFmt w:val="bullet"/>
      <w:lvlText w:val=""/>
      <w:lvlJc w:val="left"/>
      <w:pPr>
        <w:tabs>
          <w:tab w:pos="360" w:val="num"/>
        </w:tabs>
        <w:ind w:hanging="360" w:hangingChars="200" w:left="360"/>
      </w:pPr>
      <w:rPr>
        <w:rFonts w:ascii="Wingdings" w:hAnsi="Wingdings" w:hint="default"/>
      </w:rPr>
    </w:lvl>
  </w:abstractNum>
  <w:abstractNum w15:restartNumberingAfterBreak="0" w:abstractNumId="10">
    <w:nsid w:val="0000A990"/>
    <w:multiLevelType w:val="multilevel"/>
    <w:tmpl w:val="F7DE976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AC362672"/>
    <w:lvl w:ilvl="0">
      <w:numFmt w:val="bullet"/>
      <w:suff w:val="space"/>
      <w:lvlText w:val="•"/>
      <w:lvlJc w:val="left"/>
      <w:pPr>
        <w:ind w:firstLine="0" w:left="567"/>
      </w:pPr>
      <w:rPr>
        <w:rFonts w:ascii="微软雅黑" w:eastAsia="微软雅黑" w:hAnsi="微软雅黑" w:hint="eastAsia"/>
        <w:sz w:val="28"/>
      </w:rPr>
    </w:lvl>
    <w:lvl w:ilvl="1">
      <w:numFmt w:val="bullet"/>
      <w:suff w:val="space"/>
      <w:lvlText w:val=""/>
      <w:lvlJc w:val="left"/>
      <w:pPr>
        <w:ind w:firstLine="0" w:left="1134"/>
      </w:pPr>
      <w:rPr>
        <w:rFonts w:ascii="Wingdings" w:hAnsi="Wingdings" w:hint="default"/>
        <w:sz w:val="28"/>
      </w:rPr>
    </w:lvl>
    <w:lvl w:ilvl="2">
      <w:numFmt w:val="bullet"/>
      <w:suff w:val="space"/>
      <w:lvlText w:val=""/>
      <w:lvlJc w:val="left"/>
      <w:pPr>
        <w:ind w:firstLine="0" w:left="1701"/>
      </w:pPr>
      <w:rPr>
        <w:rFonts w:ascii="Wingdings" w:hAnsi="Wingdings" w:hint="default"/>
        <w:sz w:val="28"/>
      </w:rPr>
    </w:lvl>
    <w:lvl w:ilvl="3">
      <w:numFmt w:val="bullet"/>
      <w:suff w:val="space"/>
      <w:lvlText w:val="•"/>
      <w:lvlJc w:val="left"/>
      <w:pPr>
        <w:ind w:firstLine="0" w:left="2268"/>
      </w:pPr>
      <w:rPr>
        <w:rFonts w:ascii="微软雅黑" w:eastAsia="微软雅黑" w:hAnsi="微软雅黑" w:hint="eastAsia"/>
        <w:sz w:val="28"/>
      </w:rPr>
    </w:lvl>
    <w:lvl w:ilvl="4">
      <w:numFmt w:val="bullet"/>
      <w:suff w:val="space"/>
      <w:lvlText w:val="•"/>
      <w:lvlJc w:val="left"/>
      <w:pPr>
        <w:ind w:firstLine="0" w:left="2835"/>
      </w:pPr>
      <w:rPr>
        <w:rFonts w:ascii="微软雅黑" w:eastAsia="微软雅黑" w:hAnsi="微软雅黑" w:hint="eastAsia"/>
        <w:sz w:val="28"/>
      </w:rPr>
    </w:lvl>
    <w:lvl w:ilvl="5">
      <w:numFmt w:val="bullet"/>
      <w:suff w:val="space"/>
      <w:lvlText w:val="•"/>
      <w:lvlJc w:val="left"/>
      <w:pPr>
        <w:ind w:firstLine="0" w:left="3402"/>
      </w:pPr>
      <w:rPr>
        <w:rFonts w:hint="eastAsia"/>
        <w:sz w:val="28"/>
      </w:rPr>
    </w:lvl>
    <w:lvl w:ilvl="6">
      <w:numFmt w:val="bullet"/>
      <w:suff w:val="space"/>
      <w:lvlText w:val="•"/>
      <w:lvlJc w:val="left"/>
      <w:pPr>
        <w:ind w:firstLine="0" w:left="3969"/>
      </w:pPr>
      <w:rPr>
        <w:rFonts w:hint="eastAsia"/>
        <w:sz w:val="28"/>
      </w:rPr>
    </w:lvl>
    <w:lvl w:ilvl="7">
      <w:numFmt w:val="bullet"/>
      <w:suff w:val="space"/>
      <w:lvlText w:val="•"/>
      <w:lvlJc w:val="left"/>
      <w:pPr>
        <w:ind w:firstLine="0" w:left="4536"/>
      </w:pPr>
      <w:rPr>
        <w:rFonts w:hint="eastAsia"/>
        <w:sz w:val="28"/>
      </w:rPr>
    </w:lvl>
    <w:lvl w:ilvl="8">
      <w:numFmt w:val="bullet"/>
      <w:suff w:val="space"/>
      <w:lvlText w:val="•"/>
      <w:lvlJc w:val="left"/>
      <w:pPr>
        <w:ind w:firstLine="0" w:left="5103"/>
      </w:pPr>
      <w:rPr>
        <w:rFonts w:hint="eastAsia"/>
        <w:sz w:val="28"/>
      </w:rPr>
    </w:lvl>
  </w:abstractNum>
  <w:abstractNum w15:restartNumberingAfterBreak="0" w:abstractNumId="12">
    <w:nsid w:val="00A99201"/>
    <w:multiLevelType w:val="multilevel"/>
    <w:tmpl w:val="2140DE3A"/>
    <w:lvl w:ilvl="0">
      <w:start w:val="1"/>
      <w:numFmt w:val="decimal"/>
      <w:suff w:val="space"/>
      <w:lvlText w:val="%1."/>
      <w:lvlJc w:val="right"/>
      <w:pPr>
        <w:ind w:firstLine="198" w:left="567"/>
      </w:pPr>
      <w:rPr>
        <w:rFonts w:hint="eastAsia"/>
      </w:rPr>
    </w:lvl>
    <w:lvl w:ilvl="1">
      <w:start w:val="1"/>
      <w:numFmt w:val="decimal"/>
      <w:suff w:val="space"/>
      <w:lvlText w:val="%2)"/>
      <w:lvlJc w:val="right"/>
      <w:pPr>
        <w:ind w:firstLine="198" w:left="1134"/>
      </w:pPr>
      <w:rPr>
        <w:rFonts w:hint="eastAsia"/>
      </w:rPr>
    </w:lvl>
    <w:lvl w:ilvl="2">
      <w:start w:val="1"/>
      <w:numFmt w:val="upperLetter"/>
      <w:suff w:val="space"/>
      <w:lvlText w:val="%3."/>
      <w:lvlJc w:val="right"/>
      <w:pPr>
        <w:ind w:firstLine="198" w:left="1701"/>
      </w:pPr>
      <w:rPr>
        <w:rFonts w:hint="eastAsia"/>
      </w:rPr>
    </w:lvl>
    <w:lvl w:ilvl="3">
      <w:start w:val="1"/>
      <w:numFmt w:val="lowerLetter"/>
      <w:suff w:val="space"/>
      <w:lvlText w:val="%4."/>
      <w:lvlJc w:val="right"/>
      <w:pPr>
        <w:ind w:firstLine="198" w:left="2268"/>
      </w:pPr>
      <w:rPr>
        <w:rFonts w:hint="eastAsia"/>
      </w:rPr>
    </w:lvl>
    <w:lvl w:ilvl="4">
      <w:start w:val="1"/>
      <w:numFmt w:val="decimal"/>
      <w:suff w:val="space"/>
      <w:lvlText w:val="%5."/>
      <w:lvlJc w:val="right"/>
      <w:pPr>
        <w:ind w:firstLine="198" w:left="2835"/>
      </w:pPr>
      <w:rPr>
        <w:rFonts w:hint="eastAsia"/>
      </w:rPr>
    </w:lvl>
    <w:lvl w:ilvl="5">
      <w:start w:val="1"/>
      <w:numFmt w:val="decimal"/>
      <w:suff w:val="space"/>
      <w:lvlText w:val="%6)"/>
      <w:lvlJc w:val="right"/>
      <w:pPr>
        <w:ind w:firstLine="198" w:left="3402"/>
      </w:pPr>
      <w:rPr>
        <w:rFonts w:hint="eastAsia"/>
      </w:rPr>
    </w:lvl>
    <w:lvl w:ilvl="6">
      <w:start w:val="1"/>
      <w:numFmt w:val="upperLetter"/>
      <w:suff w:val="space"/>
      <w:lvlText w:val="%7."/>
      <w:lvlJc w:val="right"/>
      <w:pPr>
        <w:ind w:firstLine="198" w:left="3969"/>
      </w:pPr>
      <w:rPr>
        <w:rFonts w:hint="eastAsia"/>
      </w:rPr>
    </w:lvl>
    <w:lvl w:ilvl="7">
      <w:start w:val="1"/>
      <w:numFmt w:val="lowerLetter"/>
      <w:suff w:val="space"/>
      <w:lvlText w:val="%8."/>
      <w:lvlJc w:val="right"/>
      <w:pPr>
        <w:ind w:firstLine="198" w:left="4536"/>
      </w:pPr>
      <w:rPr>
        <w:rFonts w:hint="eastAsia"/>
      </w:rPr>
    </w:lvl>
    <w:lvl w:ilvl="8">
      <w:start w:val="1"/>
      <w:numFmt w:val="lowerRoman"/>
      <w:suff w:val="space"/>
      <w:lvlText w:val="%9."/>
      <w:lvlJc w:val="right"/>
      <w:pPr>
        <w:ind w:firstLine="198" w:left="5103"/>
      </w:pPr>
      <w:rPr>
        <w:rFonts w:hint="eastAsia"/>
      </w:rPr>
    </w:lvl>
  </w:abstractNum>
  <w:abstractNum w15:restartNumberingAfterBreak="0" w:abstractNumId="13">
    <w:nsid w:val="289471C0"/>
    <w:multiLevelType w:val="hybridMultilevel"/>
    <w:tmpl w:val="1FD8214E"/>
    <w:lvl w:ilvl="0" w:tplc="04090001">
      <w:start w:val="1"/>
      <w:numFmt w:val="bullet"/>
      <w:lvlText w:val=""/>
      <w:lvlJc w:val="left"/>
      <w:pPr>
        <w:ind w:hanging="440" w:left="920"/>
      </w:pPr>
      <w:rPr>
        <w:rFonts w:ascii="Wingdings" w:hAnsi="Wingdings" w:hint="default"/>
      </w:rPr>
    </w:lvl>
    <w:lvl w:ilvl="1" w:tentative="1" w:tplc="04090003">
      <w:start w:val="1"/>
      <w:numFmt w:val="bullet"/>
      <w:lvlText w:val=""/>
      <w:lvlJc w:val="left"/>
      <w:pPr>
        <w:ind w:hanging="440" w:left="1360"/>
      </w:pPr>
      <w:rPr>
        <w:rFonts w:ascii="Wingdings" w:hAnsi="Wingdings" w:hint="default"/>
      </w:rPr>
    </w:lvl>
    <w:lvl w:ilvl="2" w:tentative="1" w:tplc="04090005">
      <w:start w:val="1"/>
      <w:numFmt w:val="bullet"/>
      <w:lvlText w:val=""/>
      <w:lvlJc w:val="left"/>
      <w:pPr>
        <w:ind w:hanging="440" w:left="1800"/>
      </w:pPr>
      <w:rPr>
        <w:rFonts w:ascii="Wingdings" w:hAnsi="Wingdings" w:hint="default"/>
      </w:rPr>
    </w:lvl>
    <w:lvl w:ilvl="3" w:tentative="1" w:tplc="04090001">
      <w:start w:val="1"/>
      <w:numFmt w:val="bullet"/>
      <w:lvlText w:val=""/>
      <w:lvlJc w:val="left"/>
      <w:pPr>
        <w:ind w:hanging="440" w:left="2240"/>
      </w:pPr>
      <w:rPr>
        <w:rFonts w:ascii="Wingdings" w:hAnsi="Wingdings" w:hint="default"/>
      </w:rPr>
    </w:lvl>
    <w:lvl w:ilvl="4" w:tentative="1" w:tplc="04090003">
      <w:start w:val="1"/>
      <w:numFmt w:val="bullet"/>
      <w:lvlText w:val=""/>
      <w:lvlJc w:val="left"/>
      <w:pPr>
        <w:ind w:hanging="440" w:left="2680"/>
      </w:pPr>
      <w:rPr>
        <w:rFonts w:ascii="Wingdings" w:hAnsi="Wingdings" w:hint="default"/>
      </w:rPr>
    </w:lvl>
    <w:lvl w:ilvl="5" w:tentative="1" w:tplc="04090005">
      <w:start w:val="1"/>
      <w:numFmt w:val="bullet"/>
      <w:lvlText w:val=""/>
      <w:lvlJc w:val="left"/>
      <w:pPr>
        <w:ind w:hanging="440" w:left="3120"/>
      </w:pPr>
      <w:rPr>
        <w:rFonts w:ascii="Wingdings" w:hAnsi="Wingdings" w:hint="default"/>
      </w:rPr>
    </w:lvl>
    <w:lvl w:ilvl="6" w:tentative="1" w:tplc="04090001">
      <w:start w:val="1"/>
      <w:numFmt w:val="bullet"/>
      <w:lvlText w:val=""/>
      <w:lvlJc w:val="left"/>
      <w:pPr>
        <w:ind w:hanging="440" w:left="3560"/>
      </w:pPr>
      <w:rPr>
        <w:rFonts w:ascii="Wingdings" w:hAnsi="Wingdings" w:hint="default"/>
      </w:rPr>
    </w:lvl>
    <w:lvl w:ilvl="7" w:tentative="1" w:tplc="04090003">
      <w:start w:val="1"/>
      <w:numFmt w:val="bullet"/>
      <w:lvlText w:val=""/>
      <w:lvlJc w:val="left"/>
      <w:pPr>
        <w:ind w:hanging="440" w:left="4000"/>
      </w:pPr>
      <w:rPr>
        <w:rFonts w:ascii="Wingdings" w:hAnsi="Wingdings" w:hint="default"/>
      </w:rPr>
    </w:lvl>
    <w:lvl w:ilvl="8" w:tentative="1" w:tplc="04090005">
      <w:start w:val="1"/>
      <w:numFmt w:val="bullet"/>
      <w:lvlText w:val=""/>
      <w:lvlJc w:val="left"/>
      <w:pPr>
        <w:ind w:hanging="440" w:left="4440"/>
      </w:pPr>
      <w:rPr>
        <w:rFonts w:ascii="Wingdings" w:hAnsi="Wingdings" w:hint="default"/>
      </w:rPr>
    </w:lvl>
  </w:abstractNum>
  <w:abstractNum w15:restartNumberingAfterBreak="0" w:abstractNumId="14">
    <w:nsid w:val="2BC278D3"/>
    <w:multiLevelType w:val="multilevel"/>
    <w:tmpl w:val="5262CB2E"/>
    <w:styleLink w:val="1"/>
    <w:lvl w:ilvl="0">
      <w:numFmt w:val="bullet"/>
      <w:lvlText w:val="•"/>
      <w:lvlJc w:val="left"/>
      <w:pPr>
        <w:ind w:hanging="480" w:left="720"/>
      </w:pPr>
      <w:rPr>
        <w:rFonts w:ascii="微软雅黑" w:eastAsia="微软雅黑" w:hAnsi="微软雅黑" w:hint="eastAsia"/>
        <w:sz w:val="28"/>
      </w:rPr>
    </w:lvl>
    <w:lvl w:ilvl="1">
      <w:numFmt w:val="bullet"/>
      <w:lvlText w:val=""/>
      <w:lvlJc w:val="left"/>
      <w:pPr>
        <w:ind w:hanging="480" w:left="1440"/>
      </w:pPr>
      <w:rPr>
        <w:rFonts w:ascii="Wingdings" w:eastAsia="微软雅黑" w:hAnsi="Wingdings" w:hint="default"/>
        <w:sz w:val="28"/>
      </w:rPr>
    </w:lvl>
    <w:lvl w:ilvl="2">
      <w:numFmt w:val="bullet"/>
      <w:lvlText w:val=""/>
      <w:lvlJc w:val="left"/>
      <w:pPr>
        <w:ind w:hanging="480" w:left="2160"/>
      </w:pPr>
      <w:rPr>
        <w:rFonts w:ascii="Wingdings" w:eastAsia="微软雅黑" w:hAnsi="Wingdings" w:hint="default"/>
        <w:sz w:val="28"/>
      </w:rPr>
    </w:lvl>
    <w:lvl w:ilvl="3">
      <w:numFmt w:val="bullet"/>
      <w:lvlText w:val="•"/>
      <w:lvlJc w:val="left"/>
      <w:pPr>
        <w:ind w:hanging="480" w:left="2880"/>
      </w:pPr>
      <w:rPr>
        <w:rFonts w:ascii="微软雅黑" w:eastAsia="微软雅黑" w:hAnsi="微软雅黑" w:hint="eastAsia"/>
        <w:sz w:val="28"/>
      </w:rPr>
    </w:lvl>
    <w:lvl w:ilvl="4">
      <w:numFmt w:val="bullet"/>
      <w:lvlText w:val="•"/>
      <w:lvlJc w:val="left"/>
      <w:pPr>
        <w:ind w:hanging="480" w:left="3600"/>
      </w:pPr>
      <w:rPr>
        <w:rFonts w:ascii="微软雅黑" w:eastAsia="微软雅黑" w:hAnsi="微软雅黑" w:hint="eastAsia"/>
        <w:sz w:val="28"/>
      </w:rPr>
    </w:lvl>
    <w:lvl w:ilvl="5">
      <w:numFmt w:val="bullet"/>
      <w:lvlText w:val="•"/>
      <w:lvlJc w:val="left"/>
      <w:pPr>
        <w:ind w:hanging="480" w:left="4320"/>
      </w:pPr>
      <w:rPr>
        <w:rFonts w:eastAsia="微软雅黑" w:hint="eastAsia"/>
        <w:sz w:val="28"/>
      </w:rPr>
    </w:lvl>
    <w:lvl w:ilvl="6">
      <w:numFmt w:val="bullet"/>
      <w:lvlText w:val="•"/>
      <w:lvlJc w:val="left"/>
      <w:pPr>
        <w:ind w:hanging="480" w:left="5040"/>
      </w:pPr>
      <w:rPr>
        <w:rFonts w:eastAsia="微软雅黑"/>
        <w:sz w:val="28"/>
      </w:rPr>
    </w:lvl>
    <w:lvl w:ilvl="7">
      <w:numFmt w:val="bullet"/>
      <w:lvlText w:val="•"/>
      <w:lvlJc w:val="left"/>
      <w:pPr>
        <w:ind w:hanging="480" w:left="5760"/>
      </w:pPr>
      <w:rPr>
        <w:rFonts w:eastAsia="微软雅黑" w:hint="eastAsia"/>
        <w:sz w:val="28"/>
      </w:rPr>
    </w:lvl>
    <w:lvl w:ilvl="8">
      <w:numFmt w:val="bullet"/>
      <w:lvlText w:val="•"/>
      <w:lvlJc w:val="left"/>
      <w:pPr>
        <w:ind w:hanging="480" w:left="6480"/>
      </w:pPr>
      <w:rPr>
        <w:rFonts w:eastAsia="微软雅黑" w:hint="eastAsia"/>
        <w:sz w:val="28"/>
      </w:rPr>
    </w:lvl>
  </w:abstractNum>
  <w:abstractNum w15:restartNumberingAfterBreak="0" w:abstractNumId="15">
    <w:nsid w:val="553929AC"/>
    <w:multiLevelType w:val="multilevel"/>
    <w:tmpl w:val="22C0AC60"/>
    <w:styleLink w:val="2"/>
    <w:lvl w:ilvl="0">
      <w:start w:val="1"/>
      <w:numFmt w:val="decimal"/>
      <w:lvlText w:val="%1."/>
      <w:lvlJc w:val="left"/>
      <w:pPr>
        <w:ind w:hanging="480" w:left="1440"/>
      </w:pPr>
      <w:rPr>
        <w:rFonts w:hint="eastAsia"/>
      </w:rPr>
    </w:lvl>
    <w:lvl w:ilvl="1">
      <w:start w:val="1"/>
      <w:numFmt w:val="decimal"/>
      <w:lvlText w:val="%2)"/>
      <w:lvlJc w:val="left"/>
      <w:pPr>
        <w:ind w:hanging="480" w:left="2160"/>
      </w:pPr>
      <w:rPr>
        <w:rFonts w:hint="eastAsia"/>
      </w:rPr>
    </w:lvl>
    <w:lvl w:ilvl="2">
      <w:start w:val="1"/>
      <w:numFmt w:val="upperLetter"/>
      <w:lvlText w:val="%3."/>
      <w:lvlJc w:val="left"/>
      <w:pPr>
        <w:ind w:hanging="480" w:left="2880"/>
      </w:pPr>
      <w:rPr>
        <w:rFonts w:hint="eastAsia"/>
      </w:rPr>
    </w:lvl>
    <w:lvl w:ilvl="3">
      <w:start w:val="1"/>
      <w:numFmt w:val="lowerLetter"/>
      <w:lvlText w:val="%4."/>
      <w:lvlJc w:val="left"/>
      <w:pPr>
        <w:ind w:hanging="480" w:left="3600"/>
      </w:pPr>
      <w:rPr>
        <w:rFonts w:hint="eastAsia"/>
      </w:rPr>
    </w:lvl>
    <w:lvl w:ilvl="4">
      <w:start w:val="1"/>
      <w:numFmt w:val="decimal"/>
      <w:lvlText w:val="%5."/>
      <w:lvlJc w:val="left"/>
      <w:pPr>
        <w:ind w:hanging="480" w:left="4320"/>
      </w:pPr>
      <w:rPr>
        <w:rFonts w:hint="eastAsia"/>
      </w:rPr>
    </w:lvl>
    <w:lvl w:ilvl="5">
      <w:start w:val="1"/>
      <w:numFmt w:val="decimal"/>
      <w:lvlText w:val="%6)"/>
      <w:lvlJc w:val="left"/>
      <w:pPr>
        <w:ind w:hanging="480" w:left="5040"/>
      </w:pPr>
      <w:rPr>
        <w:rFonts w:hint="eastAsia"/>
      </w:rPr>
    </w:lvl>
    <w:lvl w:ilvl="6">
      <w:start w:val="1"/>
      <w:numFmt w:val="upperLetter"/>
      <w:lvlText w:val="%7."/>
      <w:lvlJc w:val="left"/>
      <w:pPr>
        <w:ind w:hanging="480" w:left="5760"/>
      </w:pPr>
      <w:rPr>
        <w:rFonts w:hint="eastAsia"/>
      </w:rPr>
    </w:lvl>
    <w:lvl w:ilvl="7">
      <w:start w:val="1"/>
      <w:numFmt w:val="lowerLetter"/>
      <w:lvlText w:val="%8."/>
      <w:lvlJc w:val="left"/>
      <w:pPr>
        <w:ind w:hanging="480" w:left="6480"/>
      </w:pPr>
      <w:rPr>
        <w:rFonts w:hint="eastAsia"/>
      </w:rPr>
    </w:lvl>
    <w:lvl w:ilvl="8">
      <w:start w:val="1"/>
      <w:numFmt w:val="lowerRoman"/>
      <w:lvlText w:val="%9."/>
      <w:lvlJc w:val="left"/>
      <w:pPr>
        <w:ind w:hanging="480" w:left="7200"/>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4"/>
  </w:num>
  <w:num w:numId="2">
    <w:abstractNumId w:val="15"/>
  </w:num>
  <w:num w:numId="3">
    <w:abstractNumId w:val="10"/>
  </w:num>
  <w:num w:numId="4">
    <w:abstractNumId w:val="12"/>
  </w:num>
  <w:num w:numId="5">
    <w:abstractNumId w:val="12"/>
  </w:num>
  <w:num w:numId="6">
    <w:abstractNumId w:val="12"/>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11"/>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num>
  <w:num w:numId="23">
    <w:abstractNumId w:val="8"/>
  </w:num>
  <w:num w:numId="24">
    <w:abstractNumId w:val="3"/>
  </w:num>
  <w:num w:numId="25">
    <w:abstractNumId w:val="2"/>
  </w:num>
  <w:num w:numId="26">
    <w:abstractNumId w:val="1"/>
  </w:num>
  <w:num w:numId="27">
    <w:abstractNumId w:val="0"/>
  </w:num>
  <w:num w:numId="28">
    <w:abstractNumId w:val="9"/>
  </w:num>
  <w:num w:numId="29">
    <w:abstractNumId w:val="7"/>
  </w:num>
  <w:num w:numId="30">
    <w:abstractNumId w:val="6"/>
  </w:num>
  <w:num w:numId="31">
    <w:abstractNumId w:val="5"/>
  </w:num>
  <w:num w:numId="32">
    <w:abstractNumId w:val="4"/>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21AA"/>
    <w:rsid w:val="00025AF3"/>
    <w:rsid w:val="00042934"/>
    <w:rsid w:val="0004797B"/>
    <w:rsid w:val="00047E47"/>
    <w:rsid w:val="000753E7"/>
    <w:rsid w:val="00087D78"/>
    <w:rsid w:val="00091BE4"/>
    <w:rsid w:val="000B5C22"/>
    <w:rsid w:val="000B699B"/>
    <w:rsid w:val="000E4DE6"/>
    <w:rsid w:val="00113CC5"/>
    <w:rsid w:val="0013396A"/>
    <w:rsid w:val="00164262"/>
    <w:rsid w:val="0017089F"/>
    <w:rsid w:val="00196A33"/>
    <w:rsid w:val="001B0C35"/>
    <w:rsid w:val="001B6BBA"/>
    <w:rsid w:val="001D786D"/>
    <w:rsid w:val="0021344A"/>
    <w:rsid w:val="00221DDC"/>
    <w:rsid w:val="00282CD1"/>
    <w:rsid w:val="0029066B"/>
    <w:rsid w:val="002B026F"/>
    <w:rsid w:val="002C5429"/>
    <w:rsid w:val="002E13EB"/>
    <w:rsid w:val="002F133B"/>
    <w:rsid w:val="0033595C"/>
    <w:rsid w:val="00382843"/>
    <w:rsid w:val="003A1B17"/>
    <w:rsid w:val="003A4B38"/>
    <w:rsid w:val="003C2F7C"/>
    <w:rsid w:val="00406F82"/>
    <w:rsid w:val="004632C8"/>
    <w:rsid w:val="00482A2A"/>
    <w:rsid w:val="004A10CE"/>
    <w:rsid w:val="004C4FF6"/>
    <w:rsid w:val="004E56DA"/>
    <w:rsid w:val="00501A65"/>
    <w:rsid w:val="00505A95"/>
    <w:rsid w:val="00517510"/>
    <w:rsid w:val="00537F2B"/>
    <w:rsid w:val="00570284"/>
    <w:rsid w:val="00572874"/>
    <w:rsid w:val="005A7FAC"/>
    <w:rsid w:val="005B0769"/>
    <w:rsid w:val="005C4DAA"/>
    <w:rsid w:val="005E74FC"/>
    <w:rsid w:val="005F4E7C"/>
    <w:rsid w:val="00620A0C"/>
    <w:rsid w:val="006629BB"/>
    <w:rsid w:val="006747B6"/>
    <w:rsid w:val="00681818"/>
    <w:rsid w:val="00683C59"/>
    <w:rsid w:val="006B564A"/>
    <w:rsid w:val="006E783C"/>
    <w:rsid w:val="0071074D"/>
    <w:rsid w:val="007126C7"/>
    <w:rsid w:val="00740662"/>
    <w:rsid w:val="007510D8"/>
    <w:rsid w:val="00773493"/>
    <w:rsid w:val="007950A2"/>
    <w:rsid w:val="007A101E"/>
    <w:rsid w:val="007B1072"/>
    <w:rsid w:val="007B7F35"/>
    <w:rsid w:val="007C0EF3"/>
    <w:rsid w:val="007F1979"/>
    <w:rsid w:val="007F29BC"/>
    <w:rsid w:val="00801FC5"/>
    <w:rsid w:val="00873A3A"/>
    <w:rsid w:val="00881BFA"/>
    <w:rsid w:val="008F4924"/>
    <w:rsid w:val="009013F6"/>
    <w:rsid w:val="00904EC4"/>
    <w:rsid w:val="009149B5"/>
    <w:rsid w:val="0092513E"/>
    <w:rsid w:val="00956EAC"/>
    <w:rsid w:val="00970C9D"/>
    <w:rsid w:val="00971AF2"/>
    <w:rsid w:val="00977B74"/>
    <w:rsid w:val="009A3285"/>
    <w:rsid w:val="009B2D34"/>
    <w:rsid w:val="009C1C2F"/>
    <w:rsid w:val="00A14FF3"/>
    <w:rsid w:val="00A83165"/>
    <w:rsid w:val="00A976D3"/>
    <w:rsid w:val="00AA1B8B"/>
    <w:rsid w:val="00AE42ED"/>
    <w:rsid w:val="00AE7F40"/>
    <w:rsid w:val="00AF14BC"/>
    <w:rsid w:val="00B25A83"/>
    <w:rsid w:val="00B8037B"/>
    <w:rsid w:val="00B9542F"/>
    <w:rsid w:val="00BA073E"/>
    <w:rsid w:val="00BA49AB"/>
    <w:rsid w:val="00BB0144"/>
    <w:rsid w:val="00BB7088"/>
    <w:rsid w:val="00BD3843"/>
    <w:rsid w:val="00BD4F7D"/>
    <w:rsid w:val="00BF2EFB"/>
    <w:rsid w:val="00BF6B73"/>
    <w:rsid w:val="00C00C92"/>
    <w:rsid w:val="00C06AC9"/>
    <w:rsid w:val="00C214C8"/>
    <w:rsid w:val="00C47116"/>
    <w:rsid w:val="00C47A52"/>
    <w:rsid w:val="00C63491"/>
    <w:rsid w:val="00C74D4B"/>
    <w:rsid w:val="00C875B0"/>
    <w:rsid w:val="00D00842"/>
    <w:rsid w:val="00D048A6"/>
    <w:rsid w:val="00D115AD"/>
    <w:rsid w:val="00D14922"/>
    <w:rsid w:val="00D21247"/>
    <w:rsid w:val="00D31585"/>
    <w:rsid w:val="00D418AC"/>
    <w:rsid w:val="00D446E0"/>
    <w:rsid w:val="00D446FE"/>
    <w:rsid w:val="00D83FFB"/>
    <w:rsid w:val="00D909EE"/>
    <w:rsid w:val="00DA58B7"/>
    <w:rsid w:val="00DB3671"/>
    <w:rsid w:val="00DB3D3E"/>
    <w:rsid w:val="00DC0840"/>
    <w:rsid w:val="00DE2CBB"/>
    <w:rsid w:val="00E1645B"/>
    <w:rsid w:val="00E2394E"/>
    <w:rsid w:val="00E367ED"/>
    <w:rsid w:val="00E41288"/>
    <w:rsid w:val="00E44B39"/>
    <w:rsid w:val="00E52940"/>
    <w:rsid w:val="00E56281"/>
    <w:rsid w:val="00E83C7F"/>
    <w:rsid w:val="00E862D2"/>
    <w:rsid w:val="00E86617"/>
    <w:rsid w:val="00E97611"/>
    <w:rsid w:val="00ED07D7"/>
    <w:rsid w:val="00EE26BD"/>
    <w:rsid w:val="00EF003C"/>
    <w:rsid w:val="00EF1D08"/>
    <w:rsid w:val="00EF74D9"/>
    <w:rsid w:val="00F130A2"/>
    <w:rsid w:val="00F3150F"/>
    <w:rsid w:val="00F346C6"/>
    <w:rsid w:val="00F658F0"/>
    <w:rsid w:val="00F90FDD"/>
    <w:rsid w:val="00FC335F"/>
    <w:rsid w:val="00FE1EFD"/>
    <w:rsid w:val="00FE78E7"/>
  </w:rsids>
  <w:themeFontLang w:eastAsia="zh-CN"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BD3843"/>
    <w:pPr>
      <w:spacing w:after="0" w:line="360" w:lineRule="auto"/>
    </w:pPr>
    <w:rPr>
      <w:rFonts w:ascii="Times New Roman" w:eastAsia="宋体" w:hAnsi="Times New Roman"/>
    </w:rPr>
  </w:style>
  <w:style w:styleId="10" w:type="paragraph">
    <w:name w:val="heading 1"/>
    <w:basedOn w:val="a"/>
    <w:next w:val="a0"/>
    <w:autoRedefine/>
    <w:uiPriority w:val="9"/>
    <w:qFormat/>
    <w:rsid w:val="009B2D34"/>
    <w:pPr>
      <w:keepNext/>
      <w:keepLines/>
      <w:spacing w:before="120" w:line="400" w:lineRule="exact"/>
      <w:outlineLvl w:val="0"/>
    </w:pPr>
    <w:rPr>
      <w:rFonts w:cstheme="majorBidi"/>
      <w:b/>
      <w:bCs/>
      <w:sz w:val="28"/>
      <w:szCs w:val="32"/>
    </w:rPr>
  </w:style>
  <w:style w:styleId="20" w:type="paragraph">
    <w:name w:val="heading 2"/>
    <w:basedOn w:val="a"/>
    <w:next w:val="a0"/>
    <w:uiPriority w:val="9"/>
    <w:unhideWhenUsed/>
    <w:qFormat/>
    <w:rsid w:val="005C4DAA"/>
    <w:pPr>
      <w:keepNext/>
      <w:keepLines/>
      <w:spacing w:before="60" w:line="400" w:lineRule="exact"/>
      <w:outlineLvl w:val="1"/>
    </w:pPr>
    <w:rPr>
      <w:rFonts w:cstheme="majorBidi"/>
      <w:b/>
      <w:bCs/>
      <w:szCs w:val="32"/>
    </w:rPr>
  </w:style>
  <w:style w:styleId="3" w:type="paragraph">
    <w:name w:val="heading 3"/>
    <w:basedOn w:val="a"/>
    <w:next w:val="a0"/>
    <w:uiPriority w:val="9"/>
    <w:unhideWhenUsed/>
    <w:qFormat/>
    <w:rsid w:val="005C4DAA"/>
    <w:pPr>
      <w:keepNext/>
      <w:keepLines/>
      <w:spacing w:line="400" w:lineRule="exact"/>
      <w:outlineLvl w:val="2"/>
    </w:pPr>
    <w:rPr>
      <w:rFonts w:cstheme="majorBidi"/>
      <w:bCs/>
      <w:szCs w:val="28"/>
    </w:rPr>
  </w:style>
  <w:style w:styleId="4" w:type="paragraph">
    <w:name w:val="heading 4"/>
    <w:basedOn w:val="a"/>
    <w:next w:val="a0"/>
    <w:link w:val="40"/>
    <w:uiPriority w:val="9"/>
    <w:unhideWhenUsed/>
    <w:qFormat/>
    <w:rsid w:val="007B1072"/>
    <w:pPr>
      <w:keepNext/>
      <w:keepLines/>
      <w:spacing w:line="400" w:lineRule="exact"/>
      <w:outlineLvl w:val="3"/>
    </w:pPr>
    <w:rPr>
      <w:rFonts w:cstheme="majorBidi"/>
      <w:bCs/>
    </w:rPr>
  </w:style>
  <w:style w:styleId="5" w:type="paragraph">
    <w:name w:val="heading 5"/>
    <w:basedOn w:val="a"/>
    <w:next w:val="a0"/>
    <w:uiPriority w:val="9"/>
    <w:unhideWhenUsed/>
    <w:qFormat/>
    <w:rsid w:val="007B1072"/>
    <w:pPr>
      <w:keepNext/>
      <w:keepLines/>
      <w:spacing w:line="400" w:lineRule="exact"/>
      <w:outlineLvl w:val="4"/>
    </w:pPr>
    <w:rPr>
      <w:rFonts w:cstheme="majorBidi"/>
      <w:iCs/>
    </w:rPr>
  </w:style>
  <w:style w:styleId="6" w:type="paragraph">
    <w:name w:val="heading 6"/>
    <w:basedOn w:val="a"/>
    <w:next w:val="a0"/>
    <w:uiPriority w:val="9"/>
    <w:unhideWhenUsed/>
    <w:qFormat/>
    <w:rsid w:val="007B1072"/>
    <w:pPr>
      <w:keepNext/>
      <w:keepLines/>
      <w:spacing w:line="400" w:lineRule="exact"/>
      <w:outlineLvl w:val="5"/>
    </w:pPr>
    <w:rPr>
      <w:rFonts w:cstheme="majorBid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rsid w:val="00743667"/>
  </w:style>
  <w:style w:customStyle="1" w:styleId="FirstParagraph" w:type="paragraph">
    <w:name w:val="First Paragraph"/>
    <w:basedOn w:val="a"/>
    <w:next w:val="a0"/>
    <w:qFormat/>
    <w:rsid w:val="005C4DAA"/>
    <w:pPr>
      <w:spacing w:line="400" w:lineRule="exact"/>
      <w:ind w:firstLine="200" w:firstLineChars="200"/>
    </w:pPr>
    <w:rPr>
      <w:lang w:eastAsia="zh-CN"/>
    </w:rPr>
  </w:style>
  <w:style w:customStyle="1" w:styleId="Compact" w:type="paragraph">
    <w:name w:val="Compact"/>
    <w:basedOn w:val="a0"/>
    <w:qFormat/>
    <w:rsid w:val="00406F82"/>
    <w:pPr>
      <w:ind w:firstLine="0" w:firstLineChars="0"/>
    </w:pPr>
    <w:rPr>
      <w:sz w:val="21"/>
    </w:rPr>
  </w:style>
  <w:style w:styleId="a5" w:type="paragraph">
    <w:name w:val="Title"/>
    <w:basedOn w:val="a"/>
    <w:next w:val="a0"/>
    <w:qFormat/>
    <w:rsid w:val="00282CD1"/>
    <w:pPr>
      <w:keepNext/>
      <w:keepLines/>
      <w:spacing w:after="240" w:before="480"/>
      <w:jc w:val="center"/>
    </w:pPr>
    <w:rPr>
      <w:rFonts w:asciiTheme="majorHAnsi" w:cstheme="majorBidi" w:eastAsiaTheme="majorEastAsia" w:hAnsiTheme="majorHAnsi"/>
      <w:b/>
      <w:bCs/>
      <w:sz w:val="36"/>
      <w:szCs w:val="36"/>
    </w:rPr>
  </w:style>
  <w:style w:styleId="a6" w:type="paragraph">
    <w:name w:val="Subtitle"/>
    <w:basedOn w:val="a5"/>
    <w:next w:val="a0"/>
    <w:qFormat/>
    <w:pPr>
      <w:spacing w:before="240"/>
    </w:pPr>
    <w:rPr>
      <w:sz w:val="30"/>
      <w:szCs w:val="30"/>
    </w:rPr>
  </w:style>
  <w:style w:customStyle="1" w:styleId="Author" w:type="paragraph">
    <w:name w:val="Author"/>
    <w:next w:val="a0"/>
    <w:qFormat/>
    <w:pPr>
      <w:keepNext/>
      <w:keepLines/>
      <w:jc w:val="center"/>
    </w:p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rsid w:val="00873A3A"/>
    <w:pPr>
      <w:tabs>
        <w:tab w:pos="384" w:val="left"/>
      </w:tabs>
      <w:spacing w:line="400" w:lineRule="exact"/>
      <w:ind w:hanging="200" w:hangingChars="200" w:left="200"/>
    </w:pPr>
  </w:style>
  <w:style w:styleId="a9" w:type="paragraph">
    <w:name w:val="Block Text"/>
    <w:basedOn w:val="a"/>
    <w:uiPriority w:val="9"/>
    <w:unhideWhenUsed/>
    <w:qFormat/>
    <w:rsid w:val="00113CC5"/>
    <w:pPr>
      <w:pBdr>
        <w:left w:color="BFBFBF" w:space="4" w:sz="48" w:themeColor="background1" w:themeShade="BF" w:val="single"/>
      </w:pBdr>
      <w:spacing w:before="100"/>
      <w:ind w:left="200" w:leftChars="200" w:right="100" w:rightChars="100"/>
    </w:pPr>
    <w:rPr>
      <w:rFonts w:eastAsiaTheme="minorEastAsia"/>
      <w:lang w:eastAsia="zh-CN"/>
    </w:rPr>
  </w:style>
  <w:style w:styleId="aa" w:type="paragraph">
    <w:name w:val="footnote text"/>
    <w:basedOn w:val="a"/>
    <w:uiPriority w:val="9"/>
    <w:unhideWhenUsed/>
    <w:qFormat/>
  </w:style>
  <w:style w:customStyle="1" w:styleId="Table" w:type="table">
    <w:name w:val="Table"/>
    <w:semiHidden/>
    <w:unhideWhenUsed/>
    <w:qFormat/>
    <w:rsid w:val="00406F82"/>
    <w:pPr>
      <w:jc w:val="center"/>
    </w:pPr>
    <w:rPr>
      <w:rFonts w:ascii="Times New Roman" w:eastAsia="宋体" w:hAnsi="Times New Roman"/>
      <w:sz w:val="20"/>
      <w:szCs w:val="20"/>
      <w:lang w:eastAsia="zh-CN"/>
    </w:rPr>
    <w:tblPr>
      <w:jc w:val="center"/>
      <w:tblInd w:type="dxa" w:w="0"/>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pPr>
        <w:wordWrap/>
        <w:spacing w:after="0" w:afterAutospacing="0" w:afterLines="0" w:before="0" w:beforeAutospacing="0" w:beforeLines="0" w:line="400" w:lineRule="exact"/>
        <w:jc w:val="center"/>
      </w:pPr>
      <w:rPr>
        <w:rFonts w:eastAsia="宋体"/>
        <w:b/>
        <w:i w:val="0"/>
      </w:rPr>
      <w:tblPr/>
      <w:tcPr>
        <w:tcBorders>
          <w:bottom w:color="auto" w:space="0" w:sz="4" w:val="single"/>
        </w:tcBorders>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b" w:type="paragraph">
    <w:name w:val="caption"/>
    <w:basedOn w:val="a"/>
    <w:link w:val="ac"/>
    <w:rsid w:val="005D0F42"/>
    <w:pPr>
      <w:spacing w:after="120"/>
      <w:jc w:val="center"/>
    </w:pPr>
  </w:style>
  <w:style w:customStyle="1" w:styleId="TableCaption" w:type="paragraph">
    <w:name w:val="Table Caption"/>
    <w:basedOn w:val="ab"/>
    <w:rsid w:val="00E86617"/>
    <w:pPr>
      <w:keepNext/>
      <w:spacing w:after="0" w:line="400" w:lineRule="exact"/>
    </w:pPr>
    <w:rPr>
      <w:b/>
      <w:sz w:val="21"/>
    </w:rPr>
  </w:style>
  <w:style w:customStyle="1" w:styleId="ImageCaption" w:type="paragraph">
    <w:name w:val="Image Caption"/>
    <w:basedOn w:val="ab"/>
    <w:rsid w:val="00971AF2"/>
    <w:pPr>
      <w:spacing w:after="0" w:line="400" w:lineRule="exact"/>
    </w:pPr>
    <w:rPr>
      <w:b/>
      <w:sz w:val="21"/>
    </w:rPr>
  </w:style>
  <w:style w:customStyle="1" w:styleId="Figure" w:type="paragraph">
    <w:name w:val="Figure"/>
    <w:basedOn w:val="a"/>
    <w:rsid w:val="00D048A6"/>
    <w:pPr>
      <w:jc w:val="center"/>
    </w:pPr>
  </w:style>
  <w:style w:customStyle="1" w:styleId="CaptionedFigure" w:type="paragraph">
    <w:name w:val="Captioned Figure"/>
    <w:basedOn w:val="Figure"/>
    <w:rsid w:val="00B8037B"/>
    <w:pPr>
      <w:keepNext/>
    </w:pPr>
  </w:style>
  <w:style w:customStyle="1" w:styleId="ac" w:type="character">
    <w:name w:val="题注 字符"/>
    <w:basedOn w:val="a1"/>
    <w:link w:val="ab"/>
    <w:rsid w:val="005D0F42"/>
    <w:rPr>
      <w:rFonts w:ascii="Times New Roman" w:eastAsia="宋体" w:hAnsi="Times New Roman"/>
    </w:rPr>
  </w:style>
  <w:style w:customStyle="1" w:styleId="VerbatimChar" w:type="character">
    <w:name w:val="Verbatim Char"/>
    <w:basedOn w:val="ac"/>
    <w:link w:val="SourceCode"/>
    <w:rsid w:val="00BF2EFB"/>
    <w:rPr>
      <w:rFonts w:ascii="Fira Code" w:cs="Times New Roman (正文 CS 字体)" w:eastAsia="宋体" w:hAnsi="Fira Code"/>
      <w:color w:themeColor="text1" w:themeTint="BF" w:val="404040"/>
      <w:sz w:val="21"/>
      <w:shd w:color="F3F4F4" w:fill="FFFFFF" w:themeFill="background1" w:val="clear"/>
      <w:lang w:eastAsia="zh-CN"/>
    </w:rPr>
  </w:style>
  <w:style w:styleId="ad" w:type="character">
    <w:name w:val="footnote reference"/>
    <w:basedOn w:val="ac"/>
    <w:rPr>
      <w:rFonts w:ascii="Times New Roman" w:eastAsia="宋体" w:hAnsi="Times New Roman"/>
      <w:vertAlign w:val="superscript"/>
    </w:rPr>
  </w:style>
  <w:style w:styleId="ae" w:type="character">
    <w:name w:val="Hyperlink"/>
    <w:basedOn w:val="ac"/>
    <w:rsid w:val="000C100F"/>
    <w:rPr>
      <w:rFonts w:ascii="Times New Roman" w:eastAsia="宋体" w:hAnsi="Times New Roman"/>
      <w:color w:val="0070C0"/>
    </w:rPr>
  </w:style>
  <w:style w:styleId="TOC" w:type="paragraph">
    <w:name w:val="TOC Heading"/>
    <w:basedOn w:val="10"/>
    <w:next w:val="a0"/>
    <w:uiPriority w:val="39"/>
    <w:unhideWhenUsed/>
    <w:qFormat/>
    <w:rsid w:val="00282CD1"/>
    <w:pPr>
      <w:spacing w:before="240" w:line="259" w:lineRule="auto"/>
      <w:outlineLvl w:val="9"/>
    </w:pPr>
    <w:rPr>
      <w:b w:val="0"/>
      <w:bCs w:val="0"/>
    </w:rPr>
  </w:style>
  <w:style w:customStyle="1" w:styleId="SourceCode" w:type="paragraph">
    <w:name w:val="Source Code"/>
    <w:basedOn w:val="a"/>
    <w:link w:val="VerbatimChar"/>
    <w:qFormat/>
    <w:rsid w:val="00BF2EFB"/>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FFFFF" w:themeFill="background1" w:val="clear"/>
      <w:wordWrap w:val="0"/>
      <w:ind w:left="300" w:leftChars="300"/>
    </w:pPr>
    <w:rPr>
      <w:rFonts w:ascii="Fira Code" w:cs="Times New Roman (正文 CS 字体)" w:hAnsi="Fira Code"/>
      <w:color w:themeColor="text1" w:themeTint="BF" w:val="404040"/>
      <w:sz w:val="21"/>
      <w:shd w:color="auto" w:fill="auto" w:val="pct5"/>
      <w:lang w:eastAsia="zh-CN"/>
    </w:rPr>
  </w:style>
  <w:style w:customStyle="1" w:styleId="a4" w:type="character">
    <w:name w:val="正文文本 字符"/>
    <w:basedOn w:val="a1"/>
    <w:link w:val="a0"/>
    <w:rsid w:val="00743667"/>
    <w:rPr>
      <w:rFonts w:ascii="Times New Roman" w:eastAsia="宋体" w:hAnsi="Times New Roman"/>
      <w:lang w:eastAsia="zh-CN"/>
    </w:rPr>
  </w:style>
  <w:style w:styleId="af" w:type="paragraph">
    <w:name w:val="header"/>
    <w:basedOn w:val="a"/>
    <w:link w:val="af0"/>
    <w:rsid w:val="00797A2D"/>
    <w:pPr>
      <w:tabs>
        <w:tab w:pos="4153" w:val="center"/>
        <w:tab w:pos="8306" w:val="right"/>
      </w:tabs>
      <w:snapToGrid w:val="0"/>
      <w:jc w:val="center"/>
    </w:pPr>
    <w:rPr>
      <w:sz w:val="18"/>
      <w:szCs w:val="18"/>
    </w:rPr>
  </w:style>
  <w:style w:customStyle="1" w:styleId="af0" w:type="character">
    <w:name w:val="页眉 字符"/>
    <w:basedOn w:val="a1"/>
    <w:link w:val="af"/>
    <w:rsid w:val="00797A2D"/>
    <w:rPr>
      <w:sz w:val="18"/>
      <w:szCs w:val="18"/>
    </w:rPr>
  </w:style>
  <w:style w:styleId="af1" w:type="paragraph">
    <w:name w:val="footer"/>
    <w:basedOn w:val="a"/>
    <w:link w:val="af2"/>
    <w:uiPriority w:val="99"/>
    <w:rsid w:val="00797A2D"/>
    <w:pPr>
      <w:tabs>
        <w:tab w:pos="4153" w:val="center"/>
        <w:tab w:pos="8306" w:val="right"/>
      </w:tabs>
      <w:snapToGrid w:val="0"/>
    </w:pPr>
    <w:rPr>
      <w:sz w:val="18"/>
      <w:szCs w:val="18"/>
    </w:rPr>
  </w:style>
  <w:style w:customStyle="1" w:styleId="af2" w:type="character">
    <w:name w:val="页脚 字符"/>
    <w:basedOn w:val="a1"/>
    <w:link w:val="af1"/>
    <w:uiPriority w:val="99"/>
    <w:rsid w:val="00797A2D"/>
    <w:rPr>
      <w:sz w:val="18"/>
      <w:szCs w:val="18"/>
    </w:rPr>
  </w:style>
  <w:style w:customStyle="1" w:styleId="1" w:type="numbering">
    <w:name w:val="列表1"/>
    <w:uiPriority w:val="99"/>
    <w:rsid w:val="00797A2D"/>
    <w:pPr>
      <w:numPr>
        <w:numId w:val="1"/>
      </w:numPr>
    </w:pPr>
  </w:style>
  <w:style w:customStyle="1" w:styleId="2" w:type="numbering">
    <w:name w:val="列表2"/>
    <w:uiPriority w:val="99"/>
    <w:rsid w:val="00D42F07"/>
    <w:pPr>
      <w:numPr>
        <w:numId w:val="2"/>
      </w:numPr>
    </w:pPr>
  </w:style>
  <w:style w:customStyle="1" w:styleId="af3" w:type="paragraph">
    <w:name w:val="图片"/>
    <w:basedOn w:val="FirstParagraph"/>
    <w:qFormat/>
    <w:rsid w:val="005D0F42"/>
    <w:pPr>
      <w:keepNext/>
      <w:jc w:val="center"/>
    </w:pPr>
    <w:rPr>
      <w:noProof/>
    </w:rPr>
  </w:style>
  <w:style w:customStyle="1" w:styleId="Compact10071" w:type="paragraph">
    <w:name w:val="样式 Compact + 10 磅 首行缩进:  0.71 厘米"/>
    <w:basedOn w:val="Compact"/>
    <w:rsid w:val="00BF4643"/>
    <w:rPr>
      <w:rFonts w:cs="宋体"/>
      <w:sz w:val="20"/>
      <w:szCs w:val="20"/>
    </w:rPr>
  </w:style>
  <w:style w:customStyle="1" w:styleId="Compact100710" w:type="paragraph">
    <w:name w:val="样式 Compact + 10 磅 加粗 首行缩进:  0.71 厘米"/>
    <w:basedOn w:val="Compact"/>
    <w:rsid w:val="004F42FD"/>
    <w:rPr>
      <w:rFonts w:cs="宋体"/>
      <w:bCs/>
      <w:sz w:val="20"/>
      <w:szCs w:val="20"/>
    </w:rPr>
  </w:style>
  <w:style w:customStyle="1" w:styleId="img" w:type="paragraph">
    <w:name w:val="img"/>
    <w:basedOn w:val="a"/>
    <w:qFormat/>
    <w:rsid w:val="00C22998"/>
    <w:pPr>
      <w:jc w:val="center"/>
    </w:pPr>
    <w:rPr>
      <w:lang w:eastAsia="zh-CN"/>
    </w:rPr>
  </w:style>
  <w:style w:customStyle="1" w:styleId="40" w:type="character">
    <w:name w:val="标题 4 字符"/>
    <w:basedOn w:val="a1"/>
    <w:link w:val="4"/>
    <w:uiPriority w:val="9"/>
    <w:rsid w:val="007B1072"/>
    <w:rPr>
      <w:rFonts w:ascii="Times New Roman" w:cstheme="majorBidi" w:eastAsia="宋体" w:hAnsi="Times New Roman"/>
      <w:bCs/>
    </w:rPr>
  </w:style>
  <w:style w:customStyle="1" w:styleId="InlineCode" w:type="character">
    <w:name w:val="Inline Code"/>
    <w:basedOn w:val="a1"/>
    <w:uiPriority w:val="1"/>
    <w:qFormat/>
    <w:rsid w:val="00956EAC"/>
    <w:rPr>
      <w:rFonts w:ascii="Fira Code" w:cs="Times New Roman (正文 CS 字体)" w:eastAsia="宋体" w:hAnsi="Fira Code"/>
      <w:color w:themeColor="text1" w:themeTint="BF" w:val="404040"/>
      <w:sz w:val="21"/>
      <w:bdr w:color="auto" w:space="0" w:sz="0" w:val="none"/>
      <w:shd w:color="F3F4F4" w:fill="F2F2F2" w:themeFill="background1" w:themeFillShade="F2" w:val="clear"/>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10" Target="footer1.xml" Type="http://schemas.openxmlformats.org/officeDocument/2006/relationships/footer" /><Relationship Id="rId9" Target="media/image1.png" Type="http://schemas.openxmlformats.org/officeDocument/2006/relationships/image" /><Relationship Type="http://schemas.openxmlformats.org/officeDocument/2006/relationships/image" Id="rId23" Target="media/rId23.png" /><Relationship Type="http://schemas.openxmlformats.org/officeDocument/2006/relationships/hyperlink" Id="rId49" Target="https://doi.org/10.1016/j.jbusres.2023.113966" TargetMode="External" /><Relationship Type="http://schemas.openxmlformats.org/officeDocument/2006/relationships/hyperlink" Id="rId34" Target="https://doi.org/10.1016/j.joep.2009.06.008" TargetMode="External" /><Relationship Type="http://schemas.openxmlformats.org/officeDocument/2006/relationships/hyperlink" Id="rId44" Target="https://doi.org/10.1086/209439" TargetMode="External" /><Relationship Type="http://schemas.openxmlformats.org/officeDocument/2006/relationships/hyperlink" Id="rId38" Target="https://doi.org/10.1126/science.7455683" TargetMode="External" /><Relationship Type="http://schemas.openxmlformats.org/officeDocument/2006/relationships/hyperlink" Id="rId40" Target="https://doi.org/10.1155/2021/4219396" TargetMode="External" /><Relationship Type="http://schemas.openxmlformats.org/officeDocument/2006/relationships/hyperlink" Id="rId51" Target="https://doi.org/10.15918/j.jbitss1009-3370.2013.01.005" TargetMode="External" /></Relationships>
</file>

<file path=word/_rels/footnotes.xml.rels><?xml version="1.0" encoding="UTF-8"?><Relationships xmlns="http://schemas.openxmlformats.org/package/2006/relationships"><Relationship Type="http://schemas.openxmlformats.org/officeDocument/2006/relationships/hyperlink" Id="rId49" Target="https://doi.org/10.1016/j.jbusres.2023.113966" TargetMode="External" /><Relationship Type="http://schemas.openxmlformats.org/officeDocument/2006/relationships/hyperlink" Id="rId34" Target="https://doi.org/10.1016/j.joep.2009.06.008" TargetMode="External" /><Relationship Type="http://schemas.openxmlformats.org/officeDocument/2006/relationships/hyperlink" Id="rId44" Target="https://doi.org/10.1086/209439" TargetMode="External" /><Relationship Type="http://schemas.openxmlformats.org/officeDocument/2006/relationships/hyperlink" Id="rId38" Target="https://doi.org/10.1126/science.7455683" TargetMode="External" /><Relationship Type="http://schemas.openxmlformats.org/officeDocument/2006/relationships/hyperlink" Id="rId40" Target="https://doi.org/10.1155/2021/4219396" TargetMode="External" /><Relationship Type="http://schemas.openxmlformats.org/officeDocument/2006/relationships/hyperlink" Id="rId51" Target="https://doi.org/10.15918/j.jbitss1009-3370.2013.01.0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513</Words>
  <Characters>2929</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2026-07-17T02:33:19Z</dcterms:created>
  <dcterms:modified xsi:type="dcterms:W3CDTF">2026-07-17T02:33:19Z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时间心理账户.bib</vt:lpwstr>
  </property>
  <property fmtid="{D5CDD505-2E9C-101B-9397-08002B2CF9AE}" pid="3" name="csl">
    <vt:lpwstr>china-national-standard-gb-t-7714-2015-numeric.csl</vt:lpwstr>
  </property>
  <property fmtid="{D5CDD505-2E9C-101B-9397-08002B2CF9AE}" pid="4" name="link-citations">
    <vt:lpwstr>True</vt:lpwstr>
  </property>
</Properties>
</file>