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40" w:lineRule="auto"/>
        <w:jc w:val="center"/>
      </w:pPr>
      <w:r>
        <w:rPr>
          <w:rFonts w:ascii="Arial" w:hAnsi="Arial" w:eastAsia="Microsoft YaHei"/>
          <w:b/>
          <w:color w:val="1F4D78"/>
          <w:sz w:val="36"/>
        </w:rPr>
        <w:t>AD（阿尔茨海默病）与认知健康人群对照标准简明汇总</w:t>
      </w:r>
    </w:p>
    <w:p>
      <w:pPr>
        <w:keepNext w:val="0"/>
        <w:spacing w:before="0" w:after="200" w:line="240" w:lineRule="auto"/>
        <w:jc w:val="center"/>
      </w:pPr>
      <w:r>
        <w:rPr>
          <w:rFonts w:ascii="Arial" w:hAnsi="Arial" w:eastAsia="Microsoft YaHei"/>
          <w:b w:val="0"/>
          <w:color w:val="5B6573"/>
          <w:sz w:val="20"/>
        </w:rPr>
        <w:t>面向AI知识库检索、抽取与规则判断</w:t>
      </w:r>
    </w:p>
    <w:p>
      <w:pPr>
        <w:pStyle w:val="Heading1"/>
        <w:keepNext/>
        <w:spacing w:before="0" w:after="80" w:line="276" w:lineRule="auto"/>
      </w:pPr>
      <w:r>
        <w:rPr>
          <w:rFonts w:ascii="Arial" w:hAnsi="Arial" w:eastAsia="Microsoft YaHei"/>
          <w:b/>
          <w:color w:val="2E74B5"/>
          <w:sz w:val="28"/>
        </w:rPr>
        <w:t>一、AI解析规则</w:t>
      </w:r>
    </w:p>
    <w:tbl>
      <w:tblPr>
        <w:tblStyle w:val="TableGrid"/>
        <w:tblW w:type="dxa" w:w="100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300"/>
        <w:gridCol w:w="774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8"/>
              </w:rPr>
              <w:t>field（字段）</w:t>
            </w:r>
          </w:p>
        </w:tc>
        <w:tc>
          <w:tcPr>
            <w:tcW w:type="dxa" w:w="774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8"/>
              </w:rPr>
              <w:t>definition（定义）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indicator_name（指标名称）</w:t>
            </w:r>
          </w:p>
        </w:tc>
        <w:tc>
          <w:tcPr>
            <w:tcW w:type="dxa" w:w="77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统一使用“英文缩写或英文名称（中文名称）”。同一指标不使用多个别名作为主键。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normal_or_control（正常/对照）</w:t>
            </w:r>
          </w:p>
        </w:tc>
        <w:tc>
          <w:tcPr>
            <w:tcW w:type="dxa" w:w="77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表示认知健康对照的典型方向、表现或研究阈值；不是所有个体都必须满足。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ad_pattern（AD表现）</w:t>
            </w:r>
          </w:p>
        </w:tc>
        <w:tc>
          <w:tcPr>
            <w:tcW w:type="dxa" w:w="77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表示AD中重复出现的方向、典型模式或限定阈值。方向性结论不得自动转换为数值界值。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evidence_type（证据属性）</w:t>
            </w:r>
          </w:p>
        </w:tc>
        <w:tc>
          <w:tcPr>
            <w:tcW w:type="dxa" w:w="77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核心一致结论、核心/辅助影像、认知筛查、功能评估、研究特异阈值、风险因素或实验性发现。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applicability（适用限制）</w:t>
            </w:r>
          </w:p>
        </w:tc>
        <w:tc>
          <w:tcPr>
            <w:tcW w:type="dxa" w:w="77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记录样本、平台、示踪剂、年龄、量表版本、疾病阶段、队列或共病限制。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decision_rule（判定规则）</w:t>
            </w:r>
          </w:p>
        </w:tc>
        <w:tc>
          <w:tcPr>
            <w:tcW w:type="dxa" w:w="77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不得由单项认知量表、风险因素、神经变性指标或实验性结果单独确诊AD；应结合临床表现和AD特异性生物标志物。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numeric_rule（数值规则）</w:t>
            </w:r>
          </w:p>
        </w:tc>
        <w:tc>
          <w:tcPr>
            <w:tcW w:type="dxa" w:w="77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多个论文阈值并存时分别保留，不取平均值；比较符号和单位必须原样匹配适用条件。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0" w:after="80" w:line="276" w:lineRule="auto"/>
      </w:pPr>
      <w:r>
        <w:rPr>
          <w:rFonts w:ascii="Arial" w:hAnsi="Arial" w:eastAsia="Microsoft YaHei"/>
          <w:b/>
          <w:color w:val="2E74B5"/>
          <w:sz w:val="28"/>
        </w:rPr>
        <w:t>二、核心生物标志物</w:t>
      </w:r>
    </w:p>
    <w:p>
      <w:pPr>
        <w:keepNext w:val="0"/>
        <w:spacing w:before="0" w:after="100" w:line="288" w:lineRule="auto"/>
      </w:pPr>
      <w:r>
        <w:rPr>
          <w:rFonts w:ascii="Arial" w:hAnsi="Arial" w:eastAsia="Microsoft YaHei"/>
          <w:b w:val="0"/>
          <w:color w:val="1F2937"/>
          <w:sz w:val="20"/>
        </w:rPr>
        <w:t>以下项目在原文多篇研究中重复出现且方向一致。未给出统一数值时，AI只能使用方向性结论。</w:t>
      </w:r>
    </w:p>
    <w:tbl>
      <w:tblPr>
        <w:tblStyle w:val="TableGrid"/>
        <w:tblW w:type="dxa" w:w="100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050"/>
        <w:gridCol w:w="1500"/>
        <w:gridCol w:w="1900"/>
        <w:gridCol w:w="1500"/>
        <w:gridCol w:w="309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indicator_name（指标名称）</w:t>
            </w:r>
          </w:p>
        </w:tc>
        <w:tc>
          <w:tcPr>
            <w:tcW w:type="dxa" w:w="15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normal_or_control（正常/对照）</w:t>
            </w:r>
          </w:p>
        </w:tc>
        <w:tc>
          <w:tcPr>
            <w:tcW w:type="dxa" w:w="19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ad_pattern（AD表现）</w:t>
            </w:r>
          </w:p>
        </w:tc>
        <w:tc>
          <w:tcPr>
            <w:tcW w:type="dxa" w:w="15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evidence_type（证据属性）</w:t>
            </w:r>
          </w:p>
        </w:tc>
        <w:tc>
          <w:tcPr>
            <w:tcW w:type="dxa" w:w="309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applicability（适用限制）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Aβ42（脑脊液β淀粉样蛋白42）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较高</w:t>
            </w:r>
          </w:p>
        </w:tc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显著降低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核心一致结论</w:t>
            </w:r>
          </w:p>
        </w:tc>
        <w:tc>
          <w:tcPr>
            <w:tcW w:type="dxa" w:w="30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需采用同一检测平台和实验室参考范围；方向比固定数值更通用。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Aβ42/Aβ40（脑脊液β淀粉样蛋白42/40比值）</w:t>
            </w:r>
          </w:p>
        </w:tc>
        <w:tc>
          <w:tcPr>
            <w:tcW w:type="dxa" w:w="1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较高；淀粉样病理通常阴性</w:t>
            </w:r>
          </w:p>
        </w:tc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显著降低；支持淀粉样病理阳性</w:t>
            </w:r>
          </w:p>
        </w:tc>
        <w:tc>
          <w:tcPr>
            <w:tcW w:type="dxa" w:w="1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核心一致结论</w:t>
            </w:r>
          </w:p>
        </w:tc>
        <w:tc>
          <w:tcPr>
            <w:tcW w:type="dxa" w:w="30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通常优于单独Aβ42；具体界值依队列和平台。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t-tau（脑脊液总tau蛋白）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较低</w:t>
            </w:r>
          </w:p>
        </w:tc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显著升高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核心一致结论</w:t>
            </w:r>
          </w:p>
        </w:tc>
        <w:tc>
          <w:tcPr>
            <w:tcW w:type="dxa" w:w="30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反映神经元损伤，不具完全AD特异性。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p-tau181（脑脊液磷酸化tau181）</w:t>
            </w:r>
          </w:p>
        </w:tc>
        <w:tc>
          <w:tcPr>
            <w:tcW w:type="dxa" w:w="1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较低</w:t>
            </w:r>
          </w:p>
        </w:tc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显著升高</w:t>
            </w:r>
          </w:p>
        </w:tc>
        <w:tc>
          <w:tcPr>
            <w:tcW w:type="dxa" w:w="1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核心一致结论</w:t>
            </w:r>
          </w:p>
        </w:tc>
        <w:tc>
          <w:tcPr>
            <w:tcW w:type="dxa" w:w="30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应结合Aβ指标解释；阈值依平台。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p-tau181/Aβ42（脑脊液磷酸化tau181/β淀粉样蛋白42比值）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较低</w:t>
            </w:r>
          </w:p>
        </w:tc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显著升高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核心一致结论</w:t>
            </w:r>
          </w:p>
        </w:tc>
        <w:tc>
          <w:tcPr>
            <w:tcW w:type="dxa" w:w="30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原文汇总中鉴别效能较高；仍需平台校准。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Aβ42/t-tau（脑脊液β淀粉样蛋白42/总tau比值）</w:t>
            </w:r>
          </w:p>
        </w:tc>
        <w:tc>
          <w:tcPr>
            <w:tcW w:type="dxa" w:w="1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较高</w:t>
            </w:r>
          </w:p>
        </w:tc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显著降低</w:t>
            </w:r>
          </w:p>
        </w:tc>
        <w:tc>
          <w:tcPr>
            <w:tcW w:type="dxa" w:w="1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核心一致结论</w:t>
            </w:r>
          </w:p>
        </w:tc>
        <w:tc>
          <w:tcPr>
            <w:tcW w:type="dxa" w:w="30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比值方向稳定；固定阈值不通用。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Plasma p-tau217（血浆磷酸化tau217）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极低</w:t>
            </w:r>
          </w:p>
        </w:tc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显著升高</w:t>
            </w:r>
          </w:p>
        </w:tc>
        <w:tc>
          <w:tcPr>
            <w:tcW w:type="dxa" w:w="1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新兴核心标志物</w:t>
            </w:r>
          </w:p>
        </w:tc>
        <w:tc>
          <w:tcPr>
            <w:tcW w:type="dxa" w:w="30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检测方法和准入阈值依平台；不可套用其他试剂阈值。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Plasma p-tau181/p-tau231（血浆磷酸化tau181/231）</w:t>
            </w:r>
          </w:p>
        </w:tc>
        <w:tc>
          <w:tcPr>
            <w:tcW w:type="dxa" w:w="1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低</w:t>
            </w:r>
          </w:p>
        </w:tc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升高</w:t>
            </w:r>
          </w:p>
        </w:tc>
        <w:tc>
          <w:tcPr>
            <w:tcW w:type="dxa" w:w="1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新兴辅助标志物</w:t>
            </w:r>
          </w:p>
        </w:tc>
        <w:tc>
          <w:tcPr>
            <w:tcW w:type="dxa" w:w="30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性能随检测方法、疾病阶段和参照标准变化。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0" w:after="80" w:line="276" w:lineRule="auto"/>
      </w:pPr>
      <w:r>
        <w:rPr>
          <w:rFonts w:ascii="Arial" w:hAnsi="Arial" w:eastAsia="Microsoft YaHei"/>
          <w:b/>
          <w:color w:val="2E74B5"/>
          <w:sz w:val="28"/>
        </w:rPr>
        <w:t>三、核心与辅助影像学表现</w:t>
      </w:r>
    </w:p>
    <w:tbl>
      <w:tblPr>
        <w:tblStyle w:val="TableGrid"/>
        <w:tblW w:type="dxa" w:w="100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000"/>
        <w:gridCol w:w="1900"/>
        <w:gridCol w:w="2500"/>
        <w:gridCol w:w="1450"/>
        <w:gridCol w:w="2190"/>
      </w:tblGrid>
      <w:tr>
        <w:trPr>
          <w:tblHeader w:val="true"/>
          <w:cantSplit/>
        </w:trPr>
        <w:tc>
          <w:tcPr>
            <w:tcW w:type="dxa" w:w="20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indicator_name（指标名称）</w:t>
            </w:r>
          </w:p>
        </w:tc>
        <w:tc>
          <w:tcPr>
            <w:tcW w:type="dxa" w:w="19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normal_or_control（正常/对照）</w:t>
            </w:r>
          </w:p>
        </w:tc>
        <w:tc>
          <w:tcPr>
            <w:tcW w:type="dxa" w:w="25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ad_pattern（AD表现）</w:t>
            </w:r>
          </w:p>
        </w:tc>
        <w:tc>
          <w:tcPr>
            <w:tcW w:type="dxa" w:w="145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evidence_type（证据属性）</w:t>
            </w:r>
          </w:p>
        </w:tc>
        <w:tc>
          <w:tcPr>
            <w:tcW w:type="dxa" w:w="219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applicability（适用限制）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Amyloid PET（淀粉样蛋白正电子发射断层扫描）</w:t>
            </w:r>
          </w:p>
        </w:tc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通常阴性；无广泛皮层淀粉样沉积</w:t>
            </w:r>
          </w:p>
        </w:tc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额叶、顶叶、颞叶及后扣带回等区域示踪剂滞留升高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核心病理影像</w:t>
            </w:r>
          </w:p>
        </w:tc>
        <w:tc>
          <w:tcPr>
            <w:tcW w:type="dxa" w:w="21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阳性可早于临床症状；示踪剂、SUVR界值和读片方法必须匹配。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Tau PET（tau蛋白正电子发射断层扫描）</w:t>
            </w:r>
          </w:p>
        </w:tc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全脑摄取低</w:t>
            </w:r>
          </w:p>
        </w:tc>
        <w:tc>
          <w:tcPr>
            <w:tcW w:type="dxa" w:w="2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典型AD常由内侧颞叶向新皮层扩展；非典型AD可有不同始发区</w:t>
            </w:r>
          </w:p>
        </w:tc>
        <w:tc>
          <w:tcPr>
            <w:tcW w:type="dxa" w:w="14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核心分期影像</w:t>
            </w:r>
          </w:p>
        </w:tc>
        <w:tc>
          <w:tcPr>
            <w:tcW w:type="dxa" w:w="21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脑区、示踪剂和疾病阶段相关；不能用典型分布排除非典型AD。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FDG-PET（氟代脱氧葡萄糖正电子发射断层扫描）</w:t>
            </w:r>
          </w:p>
        </w:tc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后扣带回、双侧颞顶皮层代谢正常</w:t>
            </w:r>
          </w:p>
        </w:tc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上述脑区葡萄糖代谢显著降低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神经变性辅助影像</w:t>
            </w:r>
          </w:p>
        </w:tc>
        <w:tc>
          <w:tcPr>
            <w:tcW w:type="dxa" w:w="21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低代谢不是AD特异性结果，需结合Aβ/tau证据。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MRI（磁共振成像）</w:t>
            </w:r>
          </w:p>
        </w:tc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海马、内嗅皮层、内侧颞叶结构相对完整；脑室无明显扩张</w:t>
            </w:r>
          </w:p>
        </w:tc>
        <w:tc>
          <w:tcPr>
            <w:tcW w:type="dxa" w:w="2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海马和内侧颞叶萎缩、皮层变薄、脑室扩大；随病程加重</w:t>
            </w:r>
          </w:p>
        </w:tc>
        <w:tc>
          <w:tcPr>
            <w:tcW w:type="dxa" w:w="14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神经变性辅助影像</w:t>
            </w:r>
          </w:p>
        </w:tc>
        <w:tc>
          <w:tcPr>
            <w:tcW w:type="dxa" w:w="21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萎缩受年龄、血管病、扫描协议和分割算法影响。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MTA score（内侧颞叶萎缩视觉评分）</w:t>
            </w:r>
          </w:p>
        </w:tc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低于年龄校正界值</w:t>
            </w:r>
          </w:p>
        </w:tc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达到或超过年龄校正界值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辅助影像评分</w:t>
            </w:r>
          </w:p>
        </w:tc>
        <w:tc>
          <w:tcPr>
            <w:tcW w:type="dxa" w:w="21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必须使用年龄分层和同一评分方法，不能作为单一确诊依据。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0" w:after="80" w:line="276" w:lineRule="auto"/>
      </w:pPr>
      <w:r>
        <w:rPr>
          <w:rFonts w:ascii="Arial" w:hAnsi="Arial" w:eastAsia="Microsoft YaHei"/>
          <w:b/>
          <w:color w:val="2E74B5"/>
          <w:sz w:val="28"/>
        </w:rPr>
        <w:t>四、认知、功能与临床分期</w:t>
      </w:r>
    </w:p>
    <w:p>
      <w:pPr>
        <w:pStyle w:val="Heading2"/>
        <w:keepNext/>
        <w:spacing w:before="0" w:after="80" w:line="276" w:lineRule="auto"/>
      </w:pPr>
      <w:r>
        <w:rPr>
          <w:rFonts w:ascii="Arial" w:hAnsi="Arial" w:eastAsia="Microsoft YaHei"/>
          <w:b/>
          <w:color w:val="1F4D78"/>
          <w:sz w:val="23"/>
        </w:rPr>
        <w:t>4.1 常用量表</w:t>
      </w:r>
    </w:p>
    <w:tbl>
      <w:tblPr>
        <w:tblStyle w:val="TableGrid"/>
        <w:tblW w:type="dxa" w:w="100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900"/>
        <w:gridCol w:w="1700"/>
        <w:gridCol w:w="2500"/>
        <w:gridCol w:w="1450"/>
        <w:gridCol w:w="249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indicator_name（指标名称）</w:t>
            </w:r>
          </w:p>
        </w:tc>
        <w:tc>
          <w:tcPr>
            <w:tcW w:type="dxa" w:w="17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normal_or_control（正常/对照）</w:t>
            </w:r>
          </w:p>
        </w:tc>
        <w:tc>
          <w:tcPr>
            <w:tcW w:type="dxa" w:w="25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ad_pattern（AD或异常参考）</w:t>
            </w:r>
          </w:p>
        </w:tc>
        <w:tc>
          <w:tcPr>
            <w:tcW w:type="dxa" w:w="145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evidence_type（证据属性）</w:t>
            </w:r>
          </w:p>
        </w:tc>
        <w:tc>
          <w:tcPr>
            <w:tcW w:type="dxa" w:w="249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applicability（适用限制）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MMSE（简易精神状态检查）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常见为≥27分或27至30分</w:t>
            </w:r>
          </w:p>
        </w:tc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≤24分常用于提示痴呆；20至26分可见轻度损伤；&lt;20分可见中重度损伤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认知筛查/分层</w:t>
            </w:r>
          </w:p>
        </w:tc>
        <w:tc>
          <w:tcPr>
            <w:tcW w:type="dxa" w:w="24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受教育程度、语言和研究纳入界值影响；不能单独确诊AD。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MoCA（蒙特利尔认知评估）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常见为≥26分</w:t>
            </w:r>
          </w:p>
        </w:tc>
        <w:tc>
          <w:tcPr>
            <w:tcW w:type="dxa" w:w="2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&lt;26分提示认知异常；部分研究中AD≤18分</w:t>
            </w:r>
          </w:p>
        </w:tc>
        <w:tc>
          <w:tcPr>
            <w:tcW w:type="dxa" w:w="14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认知筛查</w:t>
            </w:r>
          </w:p>
        </w:tc>
        <w:tc>
          <w:tcPr>
            <w:tcW w:type="dxa" w:w="24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对早期认知下降较敏感，但不是AD特异性指标。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CDR（临床痴呆评定）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0.5提示轻度或前驱阶段；1、2、3依次对应轻、中、重度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临床分期</w:t>
            </w:r>
          </w:p>
        </w:tc>
        <w:tc>
          <w:tcPr>
            <w:tcW w:type="dxa" w:w="24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需结合病史、功能下降和生物标志物。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AD8（阿尔茨海默病8项问卷）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≤2分</w:t>
            </w:r>
          </w:p>
        </w:tc>
        <w:tc>
          <w:tcPr>
            <w:tcW w:type="dxa" w:w="2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&gt;2分提示认知衰退</w:t>
            </w:r>
          </w:p>
        </w:tc>
        <w:tc>
          <w:tcPr>
            <w:tcW w:type="dxa" w:w="14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知情者筛查</w:t>
            </w:r>
          </w:p>
        </w:tc>
        <w:tc>
          <w:tcPr>
            <w:tcW w:type="dxa" w:w="24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筛查结果不能单独确诊AD。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IQCODE（老年认知功能减退知情者问卷）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≤3.44</w:t>
            </w:r>
          </w:p>
        </w:tc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&gt;3.44提示认知下降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知情者筛查</w:t>
            </w:r>
          </w:p>
        </w:tc>
        <w:tc>
          <w:tcPr>
            <w:tcW w:type="dxa" w:w="24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依赖知情者观察，不能单独确诊AD。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IADL（工具性日常生活活动）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完全独立；部分研究&lt;10分</w:t>
            </w:r>
          </w:p>
        </w:tc>
        <w:tc>
          <w:tcPr>
            <w:tcW w:type="dxa" w:w="2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复杂理财、出行和办事能力先受损；部分研究≥10分</w:t>
            </w:r>
          </w:p>
        </w:tc>
        <w:tc>
          <w:tcPr>
            <w:tcW w:type="dxa" w:w="14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功能评估</w:t>
            </w:r>
          </w:p>
        </w:tc>
        <w:tc>
          <w:tcPr>
            <w:tcW w:type="dxa" w:w="24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量表版本和计分方向必须记录。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ADL（日常生活活动）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基础生活独立；部分版本&lt;16分或健康满分20分</w:t>
            </w:r>
          </w:p>
        </w:tc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随病程出现基础生活依赖；部分研究≥16分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功能评估</w:t>
            </w:r>
          </w:p>
        </w:tc>
        <w:tc>
          <w:tcPr>
            <w:tcW w:type="dxa" w:w="24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不同版本计分方向可能相反，不能脱离量表版本解释。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FAQ（功能活动问卷）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接近0分</w:t>
            </w:r>
          </w:p>
        </w:tc>
        <w:tc>
          <w:tcPr>
            <w:tcW w:type="dxa" w:w="2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由MCI至AD痴呆逐步升高</w:t>
            </w:r>
          </w:p>
        </w:tc>
        <w:tc>
          <w:tcPr>
            <w:tcW w:type="dxa" w:w="14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功能严重度评估</w:t>
            </w:r>
          </w:p>
        </w:tc>
        <w:tc>
          <w:tcPr>
            <w:tcW w:type="dxa" w:w="24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反映功能影响，不证明AD病理。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NPI/NPI-Q（神经精神量表/问卷）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接近0分</w:t>
            </w:r>
          </w:p>
        </w:tc>
        <w:tc>
          <w:tcPr>
            <w:tcW w:type="dxa" w:w="25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研究中NPI≥8分或NPI-Q≥10分；常伴行为和精神症状</w:t>
            </w:r>
          </w:p>
        </w:tc>
        <w:tc>
          <w:tcPr>
            <w:tcW w:type="dxa" w:w="14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症状评估</w:t>
            </w:r>
          </w:p>
        </w:tc>
        <w:tc>
          <w:tcPr>
            <w:tcW w:type="dxa" w:w="24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非AD特异性；阈值依量表版本。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CDT-CG（画钟测验）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&gt;3.5分</w:t>
            </w:r>
          </w:p>
        </w:tc>
        <w:tc>
          <w:tcPr>
            <w:tcW w:type="dxa" w:w="25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≤3.5分</w:t>
            </w:r>
          </w:p>
        </w:tc>
        <w:tc>
          <w:tcPr>
            <w:tcW w:type="dxa" w:w="14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单篇研究阈值</w:t>
            </w:r>
          </w:p>
        </w:tc>
        <w:tc>
          <w:tcPr>
            <w:tcW w:type="dxa" w:w="24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评分法特异，仅用于辅助筛查。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2"/>
        <w:keepNext/>
        <w:spacing w:before="0" w:after="80" w:line="276" w:lineRule="auto"/>
      </w:pPr>
      <w:r>
        <w:rPr>
          <w:rFonts w:ascii="Arial" w:hAnsi="Arial" w:eastAsia="Microsoft YaHei"/>
          <w:b/>
          <w:color w:val="1F4D78"/>
          <w:sz w:val="23"/>
        </w:rPr>
        <w:t>4.2 2024 NIA-AA摘要中的六阶段框架</w:t>
      </w:r>
    </w:p>
    <w:p>
      <w:pPr>
        <w:keepNext w:val="0"/>
        <w:spacing w:before="0" w:after="100" w:line="288" w:lineRule="auto"/>
      </w:pPr>
      <w:r>
        <w:rPr>
          <w:rFonts w:ascii="Arial" w:hAnsi="Arial" w:eastAsia="Microsoft YaHei"/>
          <w:b w:val="0"/>
          <w:color w:val="1F2937"/>
          <w:sz w:val="20"/>
        </w:rPr>
        <w:t>该表用于记录原文中的框架性分期，不表示所有指南或研究均采用相同定义。</w:t>
      </w:r>
    </w:p>
    <w:tbl>
      <w:tblPr>
        <w:tblStyle w:val="TableGrid"/>
        <w:tblW w:type="dxa" w:w="100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200"/>
        <w:gridCol w:w="1600"/>
        <w:gridCol w:w="3000"/>
        <w:gridCol w:w="424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stage（阶段）</w:t>
            </w:r>
          </w:p>
        </w:tc>
        <w:tc>
          <w:tcPr>
            <w:tcW w:type="dxa" w:w="16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CDR（临床痴呆评定）</w:t>
            </w:r>
          </w:p>
        </w:tc>
        <w:tc>
          <w:tcPr>
            <w:tcW w:type="dxa" w:w="30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biomarker_state（生物标志物状态）</w:t>
            </w:r>
          </w:p>
        </w:tc>
        <w:tc>
          <w:tcPr>
            <w:tcW w:type="dxa" w:w="424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clinical_function（认知与日常功能）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Stage 1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30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A-T1-T2-N-</w:t>
            </w:r>
          </w:p>
        </w:tc>
        <w:tc>
          <w:tcPr>
            <w:tcW w:type="dxa" w:w="42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认知和日常功能正常。</w:t>
            </w:r>
          </w:p>
        </w:tc>
      </w:tr>
      <w:tr>
        <w:trPr>
          <w:cantSplit/>
        </w:trPr>
        <w:tc>
          <w:tcPr>
            <w:tcW w:type="dxa" w:w="12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Stage 2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30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仅Core 1淀粉样/tau标志物阳性</w:t>
            </w:r>
          </w:p>
        </w:tc>
        <w:tc>
          <w:tcPr>
            <w:tcW w:type="dxa" w:w="42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可有主观记忆变化，但客观测试正常。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Stage 3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0.5</w:t>
            </w:r>
          </w:p>
        </w:tc>
        <w:tc>
          <w:tcPr>
            <w:tcW w:type="dxa" w:w="30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A+T1+；可伴轻度tau改变</w:t>
            </w:r>
          </w:p>
        </w:tc>
        <w:tc>
          <w:tcPr>
            <w:tcW w:type="dxa" w:w="42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客观认知受损，复杂工具性活动效率下降。</w:t>
            </w:r>
          </w:p>
        </w:tc>
      </w:tr>
      <w:tr>
        <w:trPr>
          <w:cantSplit/>
        </w:trPr>
        <w:tc>
          <w:tcPr>
            <w:tcW w:type="dxa" w:w="12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Stage 4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A+T2+N+</w:t>
            </w:r>
          </w:p>
        </w:tc>
        <w:tc>
          <w:tcPr>
            <w:tcW w:type="dxa" w:w="42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轻度AD痴呆，基础生活部分需要协助。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Stage 5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0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多通路病理阳性</w:t>
            </w:r>
          </w:p>
        </w:tc>
        <w:tc>
          <w:tcPr>
            <w:tcW w:type="dxa" w:w="42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中度AD痴呆，多数日常活动依赖他人。</w:t>
            </w:r>
          </w:p>
        </w:tc>
      </w:tr>
      <w:tr>
        <w:trPr>
          <w:cantSplit/>
        </w:trPr>
        <w:tc>
          <w:tcPr>
            <w:tcW w:type="dxa" w:w="12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Stage 6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终末期广泛脑损伤</w:t>
            </w:r>
          </w:p>
        </w:tc>
        <w:tc>
          <w:tcPr>
            <w:tcW w:type="dxa" w:w="42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重度AD痴呆，完全丧失自理能力。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0" w:after="80" w:line="276" w:lineRule="auto"/>
      </w:pPr>
      <w:r>
        <w:rPr>
          <w:rFonts w:ascii="Arial" w:hAnsi="Arial" w:eastAsia="Microsoft YaHei"/>
          <w:b/>
          <w:color w:val="2E74B5"/>
          <w:sz w:val="28"/>
        </w:rPr>
        <w:t>五、明确数值阈值（仅限对应研究或平台）</w:t>
      </w:r>
    </w:p>
    <w:p>
      <w:pPr>
        <w:keepNext w:val="0"/>
        <w:spacing w:before="0" w:after="100" w:line="288" w:lineRule="auto"/>
      </w:pPr>
      <w:r>
        <w:rPr>
          <w:rFonts w:ascii="Arial" w:hAnsi="Arial" w:eastAsia="Microsoft YaHei"/>
          <w:b w:val="0"/>
          <w:color w:val="1F2937"/>
          <w:sz w:val="20"/>
        </w:rPr>
        <w:t>本节保留原文中的数值信息，但所有项目均不得脱离其检测平台、示踪剂、队列、年龄或量表版本使用。</w:t>
      </w:r>
    </w:p>
    <w:tbl>
      <w:tblPr>
        <w:tblStyle w:val="TableGrid"/>
        <w:tblW w:type="dxa" w:w="100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050"/>
        <w:gridCol w:w="1800"/>
        <w:gridCol w:w="2300"/>
        <w:gridCol w:w="1600"/>
        <w:gridCol w:w="229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indicator_name（指标名称）</w:t>
            </w:r>
          </w:p>
        </w:tc>
        <w:tc>
          <w:tcPr>
            <w:tcW w:type="dxa" w:w="18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normal_or_control（正常/阴性）</w:t>
            </w:r>
          </w:p>
        </w:tc>
        <w:tc>
          <w:tcPr>
            <w:tcW w:type="dxa" w:w="23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ad_pattern（AD/阳性）</w:t>
            </w:r>
          </w:p>
        </w:tc>
        <w:tc>
          <w:tcPr>
            <w:tcW w:type="dxa" w:w="16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evidence_type（证据属性）</w:t>
            </w:r>
          </w:p>
        </w:tc>
        <w:tc>
          <w:tcPr>
            <w:tcW w:type="dxa" w:w="229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7"/>
              </w:rPr>
              <w:t>applicability（适用限制）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FDG-PET SUVR（FDG-PET标准摄取值比）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≥1.158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&lt;1.158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单项研究最优阈值</w:t>
            </w:r>
          </w:p>
        </w:tc>
        <w:tc>
          <w:tcPr>
            <w:tcW w:type="dxa" w:w="22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仅适用于该研究的扫描、归一化和人群。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p-tau（脑脊液磷酸化tau）</w:t>
            </w:r>
          </w:p>
        </w:tc>
        <w:tc>
          <w:tcPr>
            <w:tcW w:type="dxa" w:w="1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≤68 pg/mL</w:t>
            </w:r>
          </w:p>
        </w:tc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&gt;68 pg/mL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特定共病研究阈值</w:t>
            </w:r>
          </w:p>
        </w:tc>
        <w:tc>
          <w:tcPr>
            <w:tcW w:type="dxa" w:w="22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不得替代本地实验室/平台界值。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ATI（Aβ42/t-tau指数）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≥0.8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&lt;0.8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特定共病研究阈值</w:t>
            </w:r>
          </w:p>
        </w:tc>
        <w:tc>
          <w:tcPr>
            <w:tcW w:type="dxa" w:w="22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计算方法和检测平台必须一致。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Plasma p-tau217（血浆磷酸化tau217）</w:t>
            </w:r>
          </w:p>
        </w:tc>
        <w:tc>
          <w:tcPr>
            <w:tcW w:type="dxa" w:w="1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≤0.25 pg/mL</w:t>
            </w:r>
          </w:p>
        </w:tc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&gt;0.25 pg/mL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特定血浆检测阈值</w:t>
            </w:r>
          </w:p>
        </w:tc>
        <w:tc>
          <w:tcPr>
            <w:tcW w:type="dxa" w:w="22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不可跨试剂、平台或实验室直接使用。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11C-PiB PET（碳-11匹兹堡复合物B淀粉样PET）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视觉判读阴性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视觉判读阳性；广泛Aβ沉积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示踪剂特异标准</w:t>
            </w:r>
          </w:p>
        </w:tc>
        <w:tc>
          <w:tcPr>
            <w:tcW w:type="dxa" w:w="22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依赖示踪剂和视觉读片规则。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Aβ42/Aβ40（脑脊液β淀粉样蛋白42/40比值）</w:t>
            </w:r>
          </w:p>
        </w:tc>
        <w:tc>
          <w:tcPr>
            <w:tcW w:type="dxa" w:w="1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高于对应队列界值</w:t>
            </w:r>
          </w:p>
        </w:tc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DELCODE≤0.08；ADNI/ActiGliA≤0.05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队列特异阈值</w:t>
            </w:r>
          </w:p>
        </w:tc>
        <w:tc>
          <w:tcPr>
            <w:tcW w:type="dxa" w:w="22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两个界值不可互换或取平均。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Amyloid PET Centiloid（淀粉样PET标准量表）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&lt;25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≥25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2024 NIA-AA摘要界值</w:t>
            </w:r>
          </w:p>
        </w:tc>
        <w:tc>
          <w:tcPr>
            <w:tcW w:type="dxa" w:w="22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仍需结合示踪剂转换和质量控制。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MTA score（内侧颞叶萎缩视觉评分）</w:t>
            </w:r>
          </w:p>
        </w:tc>
        <w:tc>
          <w:tcPr>
            <w:tcW w:type="dxa" w:w="1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低于对应年龄界值</w:t>
            </w:r>
          </w:p>
        </w:tc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&lt;75岁时≥2分；≥75岁时≥3分；另有研究通用界值≥2.5分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年龄特异阈值</w:t>
            </w:r>
          </w:p>
        </w:tc>
        <w:tc>
          <w:tcPr>
            <w:tcW w:type="dxa" w:w="22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年龄分层界值与通用界值并存，不合并。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Amyloid PET SUVR（淀粉样PET标准摄取值比）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不同示踪剂的阴性界值为&lt;1.08至&lt;1.21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不同示踪剂的阳性界值为&gt;1.20至&gt;1.67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示踪剂特异范围</w:t>
            </w:r>
          </w:p>
        </w:tc>
        <w:tc>
          <w:tcPr>
            <w:tcW w:type="dxa" w:w="22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必须使用对应示踪剂的单一界值。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Tau PET SUVR（tau PET标准摄取值比）</w:t>
            </w:r>
          </w:p>
        </w:tc>
        <w:tc>
          <w:tcPr>
            <w:tcW w:type="dxa" w:w="1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&lt;1.11</w:t>
            </w:r>
          </w:p>
        </w:tc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&gt;1.26至&gt;1.34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脑区/示踪剂特异范围</w:t>
            </w:r>
          </w:p>
        </w:tc>
        <w:tc>
          <w:tcPr>
            <w:tcW w:type="dxa" w:w="22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不能把范围端点当成统一临床界值。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Aβ42（脑脊液β淀粉样蛋白42）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不同研究正常界值为&gt;500至&gt;642 ng/L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不同研究AD界值为&lt;471至&lt;539 ng/L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多研究范围</w:t>
            </w:r>
          </w:p>
        </w:tc>
        <w:tc>
          <w:tcPr>
            <w:tcW w:type="dxa" w:w="22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正常与AD界值存在重叠，反映平台差异。</w:t>
            </w:r>
          </w:p>
        </w:tc>
      </w:tr>
      <w:tr>
        <w:trPr>
          <w:cantSplit/>
        </w:trPr>
        <w:tc>
          <w:tcPr>
            <w:tcW w:type="dxa" w:w="205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t-tau（脑脊液总tau蛋白）</w:t>
            </w:r>
          </w:p>
        </w:tc>
        <w:tc>
          <w:tcPr>
            <w:tcW w:type="dxa" w:w="1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不同研究正常界值为&lt;300至&lt;330 ng/L</w:t>
            </w:r>
          </w:p>
        </w:tc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不同研究AD界值为&gt;308至&gt;461 ng/L</w:t>
            </w:r>
          </w:p>
        </w:tc>
        <w:tc>
          <w:tcPr>
            <w:tcW w:type="dxa" w:w="16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多研究范围</w:t>
            </w:r>
          </w:p>
        </w:tc>
        <w:tc>
          <w:tcPr>
            <w:tcW w:type="dxa" w:w="229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界值重叠，不得生成统一阈值。</w:t>
            </w:r>
          </w:p>
        </w:tc>
      </w:tr>
      <w:tr>
        <w:trPr>
          <w:cantSplit/>
        </w:trPr>
        <w:tc>
          <w:tcPr>
            <w:tcW w:type="dxa" w:w="205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CSF p-tau181（脑脊液磷酸化tau181）</w:t>
            </w:r>
          </w:p>
        </w:tc>
        <w:tc>
          <w:tcPr>
            <w:tcW w:type="dxa" w:w="1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不同研究正常界值为&lt;56至&lt;57 ng/L</w:t>
            </w:r>
          </w:p>
        </w:tc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不同研究AD界值为&gt;57至&gt;68 ng/L</w:t>
            </w:r>
          </w:p>
        </w:tc>
        <w:tc>
          <w:tcPr>
            <w:tcW w:type="dxa" w:w="16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多研究范围</w:t>
            </w:r>
          </w:p>
        </w:tc>
        <w:tc>
          <w:tcPr>
            <w:tcW w:type="dxa" w:w="229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需匹配检测平台和实验室。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0" w:after="80" w:line="276" w:lineRule="auto"/>
      </w:pPr>
      <w:r>
        <w:rPr>
          <w:rFonts w:ascii="Arial" w:hAnsi="Arial" w:eastAsia="Microsoft YaHei"/>
          <w:b/>
          <w:color w:val="2E74B5"/>
          <w:sz w:val="28"/>
        </w:rPr>
        <w:t>六、特殊情况、个例与实验性发现</w:t>
      </w:r>
    </w:p>
    <w:p>
      <w:pPr>
        <w:keepNext w:val="0"/>
        <w:spacing w:before="0" w:after="100" w:line="288" w:lineRule="auto"/>
      </w:pPr>
      <w:r>
        <w:rPr>
          <w:rFonts w:ascii="Arial" w:hAnsi="Arial" w:eastAsia="Microsoft YaHei"/>
          <w:b w:val="0"/>
          <w:color w:val="1F2937"/>
          <w:sz w:val="20"/>
        </w:rPr>
        <w:t>本节保留单篇、亚组、阶段特异、相互冲突或尚未形成通用标准的结果。AI可以将其作为检索线索或辅助解释，但不得升级为独立诊断规则。</w:t>
      </w:r>
    </w:p>
    <w:tbl>
      <w:tblPr>
        <w:tblStyle w:val="TableGrid"/>
        <w:tblW w:type="dxa" w:w="100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300"/>
        <w:gridCol w:w="3400"/>
        <w:gridCol w:w="1700"/>
        <w:gridCol w:w="264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indicator_name（指标/主题）</w:t>
            </w:r>
          </w:p>
        </w:tc>
        <w:tc>
          <w:tcPr>
            <w:tcW w:type="dxa" w:w="34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study_finding（研究发现）</w:t>
            </w:r>
          </w:p>
        </w:tc>
        <w:tc>
          <w:tcPr>
            <w:tcW w:type="dxa" w:w="17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evidence_type（证据属性）</w:t>
            </w:r>
          </w:p>
        </w:tc>
        <w:tc>
          <w:tcPr>
            <w:tcW w:type="dxa" w:w="264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6"/>
              </w:rPr>
              <w:t>applicability（解释限制）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CSF Aβ40（脑脊液β淀粉样蛋白40）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有研究无差异，也有研究报告AD降低。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结论冲突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优先解释Aβ42/Aβ40比值；不能作为单独通用指标。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Plasma Aβ42/Aβ40（血浆β淀粉样蛋白42/40比值）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AD通常降低，但组间差异约10%至15%，性能随平台变化。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平台特异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不能使用统一阈值。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CSF α-synuclein（脑脊液α-突触核蛋白）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单纯AD与对照多无差异；短病程MCI-AD或路易体共病可异常。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亚组/共病特异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不能作为单纯AD通用标志物。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LCA/GLCA/CA（石胆酸/甘氨石胆酸/胆酸）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AD中LCA、GLCA升高，CA降低。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单队列血清胆汁酸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AUC约0.56至0.60，明显弱于经典标志物。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Thyroid hormones（甲状腺激素）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与部分脑结构存在分组关联，但与CSF Aβ/tau无稳定相关。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关联性结果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不是AD诊断指标。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Weight/BMI（体重/体质指数）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部分AD队列体重和BMI较低。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队列特异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易受年龄、营养、虚弱和疾病阶段混杂。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Taste function（味觉功能）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部分AD队列咸味阈值升高、味道辨别下降。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单队列/女性效应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无通用检测阈值，不可单独诊断。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ChP volume（脉络丛体积）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AD中增大，并与Aβ、tau、NPI和ADL相关。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研究性影像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尚无通用界值。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ALPS index（沿血管周围间隙扩散指数）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AD低于对照，原文三个队列方向一致。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新兴类淋巴影像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扫描和算法依赖，尚非诊断标准。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WMH（脑白质高信号）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部分队列AD负荷增加，其他队列无差异。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结论不一致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年龄和血管病相关，不是AD特异性指标。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Zonulin（连蛋白）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晚发AD/前驱AD中升高，纯血管性痴呆未升高。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单研究肠屏障指标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不可单独诊断AD。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Digital biomarkers（数字化认知/语音标志物）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dCDT、CBB和语音静默占比可区分部分Aβ阳性或MCI人群。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算法研究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语言、设备、任务和训练数据特异。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Urinary formic acid/GABR/AD7c-NTP（尿甲酸/尿精氨酸指标/尿神经丝蛋白）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报告AD方向性差异及中等鉴别性能。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早期尿液研究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检测定义和外部验证不足。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Gut microbiome（肠道菌群）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AD多样性下降、促炎菌富集；联合模型AUC较高。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队列/模型特异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饮食、地区、药物和分析流程高度影响。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OCT（光学相干断层扫描）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视网膜神经纤维层/GC-IPL变薄，血管密度下降。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辅助研究指标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非特异性，不能单独诊断。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EEG/ERP（脑电图/事件相关电位）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AD/MCI慢波增加、α/β下降；部分ERP指标有鉴别性能。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任务/设备特异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缺乏统一采集和判定界值。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Language tests（语言测验）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语义流畅、命名和理解下降；语义流畅差异最大。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临床辅助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受教育、语言文化和疾病阶段影响。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Cerebral venous CSA（脑静脉横截面积）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小样本中AD/MCI总静脉及非颈静脉面积较小。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单项TOF-MRI研究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尚非诊断标准。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 subtype tau pattern（AD亚型tau分布）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PCA、lvPPA、bvAD、CBS和典型AD具有不同tau始发区。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亚型特异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典型海马模式阴性不能排除非典型AD。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Hippocampal atrophy rate（海马年萎缩率）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正常人&lt;MCI&lt;AD，AD年萎缩更快。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纵向影像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受年龄、基线体积和分割软件影响。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CSF Klotho（脑脊液Klotho蛋白）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正常&gt;AD-MCI&gt;AD痴呆；年龄和APOE4分层不同。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单研究/阶段特异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不能使用通用阈值。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MRI texture（MRI海马纹理）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可能早于体积变化识别亚临床损伤。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算法实验指标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扫描协议和模型特异。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ASC/IL-18/sAPPα/sAPPβ（炎症小体及淀粉样前体片段）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ASC、sAPPα/β在AD谱系升高；IL-18主要在MCI升高。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单队列阈值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MCI与AD方向不完全一致。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NfL/GFAP（神经丝轻链/胶质纤维酸性蛋白）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AD通常升高。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非特异性神经损伤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可反映轴突/胶质损伤，不能单独证明AD。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CMB（脑微出血）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AD中脑叶微出血较常见，种族差异受年龄影响。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血管/CAA相关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不是AD单独诊断指标。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APOE ε4（载脂蛋白E ε4等位基因）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多数队列AD携带率更高，但部分人群差异不显著。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风险因素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不能单独确诊AD；人群差异明显。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NLR（中性粒细胞/淋巴细胞比值）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AD/aMCI中轻度升高。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非特异性炎症关联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无法预测MCI是否进展为AD。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GPR50 methylation（GPR50启动子甲基化）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中国汉族男性AD中较低，女性无差异。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性别/人群特异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不可跨人群推广。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Cortical thickness（皮层厚度）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AD特异区较健康老人额外变薄，正常老化空间模式不同。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研究图谱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需标准化脑区、扫描和分析软件。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MDA/CML（丙二醛/羧甲基赖氨酸）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AD中氧化/糖基化负荷较高，干预反应不同。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小样本干预研究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不可作为诊断阈值。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IL-1β -31 genotype/sleep（白细胞介素1β基因型/睡眠）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TT基因型在AD较多并伴更重睡眠破坏。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遗传/睡眠关联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不可单独诊断。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Platelet ADAM10/PSEN1（血小板分泌酶）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小样本中ADAM10、PSEN1降低并报告ROC阈值。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n=20/组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细胞类型方向不同，需外部验证。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BDNF（脑源性神经营养因子）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总体AD与对照无差异；早期可升高，重度可降低。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高异质/阶段冲突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不能给出统一方向或阈值。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Diagnostic framework（诊断框架）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A+T-、A-T+在NIA-AA与IWG等框架下归类不一致。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框架冲突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必须记录所用框架，不能跨框架直接等同。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Synaptic proteins（脑脊液突触蛋白）</w:t>
            </w:r>
          </w:p>
        </w:tc>
        <w:tc>
          <w:tcPr>
            <w:tcW w:type="dxa" w:w="34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临床前Stage 1降低，前驱AD升高，痴呆期轻度升高。</w:t>
            </w:r>
          </w:p>
        </w:tc>
        <w:tc>
          <w:tcPr>
            <w:tcW w:type="dxa" w:w="17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明显阶段依赖</w:t>
            </w:r>
          </w:p>
        </w:tc>
        <w:tc>
          <w:tcPr>
            <w:tcW w:type="dxa" w:w="26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当前属于研究指标。</w:t>
            </w:r>
          </w:p>
        </w:tc>
      </w:tr>
      <w:tr>
        <w:trPr>
          <w:cantSplit/>
        </w:trPr>
        <w:tc>
          <w:tcPr>
            <w:tcW w:type="dxa" w:w="23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CD8+ memory T cells（CD8阳性记忆效应T细胞）</w:t>
            </w:r>
          </w:p>
        </w:tc>
        <w:tc>
          <w:tcPr>
            <w:tcW w:type="dxa" w:w="34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CD8+CD45RO+CXCR3+亚群在小样本AD队列中升高。</w:t>
            </w:r>
          </w:p>
        </w:tc>
        <w:tc>
          <w:tcPr>
            <w:tcW w:type="dxa" w:w="17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小样本免疫研究</w:t>
            </w:r>
          </w:p>
        </w:tc>
        <w:tc>
          <w:tcPr>
            <w:tcW w:type="dxa" w:w="26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6"/>
              </w:rPr>
              <w:t>其他相关T细胞亚群无差异。</w:t>
            </w:r>
          </w:p>
        </w:tc>
      </w:tr>
    </w:tbl>
    <w:p>
      <w:pPr>
        <w:keepNext w:val="0"/>
        <w:spacing w:before="0" w:after="20" w:line="276" w:lineRule="auto"/>
      </w:pPr>
    </w:p>
    <w:p>
      <w:pPr>
        <w:pStyle w:val="Heading1"/>
        <w:keepNext/>
        <w:spacing w:before="0" w:after="80" w:line="276" w:lineRule="auto"/>
      </w:pPr>
      <w:r>
        <w:rPr>
          <w:rFonts w:ascii="Arial" w:hAnsi="Arial" w:eastAsia="Microsoft YaHei"/>
          <w:b/>
          <w:color w:val="2E74B5"/>
          <w:sz w:val="28"/>
        </w:rPr>
        <w:t>七、鉴别与解释限制</w:t>
      </w:r>
    </w:p>
    <w:tbl>
      <w:tblPr>
        <w:tblStyle w:val="TableGrid"/>
        <w:tblW w:type="dxa" w:w="1004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800"/>
        <w:gridCol w:w="7240"/>
      </w:tblGrid>
      <w:tr>
        <w:trPr>
          <w:tblHeader w:val="true"/>
          <w:cantSplit/>
        </w:trPr>
        <w:tc>
          <w:tcPr>
            <w:tcW w:type="dxa" w:w="280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8"/>
              </w:rPr>
              <w:t>rule_name（规则名称）</w:t>
            </w:r>
          </w:p>
        </w:tc>
        <w:tc>
          <w:tcPr>
            <w:tcW w:type="dxa" w:w="7240"/>
            <w:shd w:fill="E8EEF5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1F4D78"/>
                <w:sz w:val="18"/>
              </w:rPr>
              <w:t>interpretation（解释规则）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Cognition vs pathology（认知与病理）</w:t>
            </w:r>
          </w:p>
        </w:tc>
        <w:tc>
          <w:tcPr>
            <w:tcW w:type="dxa" w:w="72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认知正常不排除生物标志物阳性的临床前AD；认知异常也不能单独证明AD病理。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A+T- status（淀粉样阳性、tau阴性状态）</w:t>
            </w:r>
          </w:p>
        </w:tc>
        <w:tc>
          <w:tcPr>
            <w:tcW w:type="dxa" w:w="72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可表示淀粉样阳性高风险或临床前状态；是否达到“生物学AD”取决于所用诊断框架。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A-T+ status（淀粉样阴性、tau阳性状态）</w:t>
            </w:r>
          </w:p>
        </w:tc>
        <w:tc>
          <w:tcPr>
            <w:tcW w:type="dxa" w:w="72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常提示PART（原发性年龄相关tau病）或其他非AD tau病理，不能直接归为AD。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N+ status（神经变性阳性状态）</w:t>
            </w:r>
          </w:p>
        </w:tc>
        <w:tc>
          <w:tcPr>
            <w:tcW w:type="dxa" w:w="72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萎缩、低代谢或NfL升高反映神经变性，但不具有AD特异性。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Risk factors（风险因素）</w:t>
            </w:r>
          </w:p>
        </w:tc>
        <w:tc>
          <w:tcPr>
            <w:tcW w:type="dxa" w:w="7240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APOE ε4、年龄、低教育、炎症、睡眠、体重及生活方式只能用于风险或背景解释。</w:t>
            </w:r>
          </w:p>
        </w:tc>
      </w:tr>
      <w:tr>
        <w:trPr>
          <w:cantSplit/>
        </w:trPr>
        <w:tc>
          <w:tcPr>
            <w:tcW w:type="dxa" w:w="280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Threshold conflicts（阈值冲突）</w:t>
            </w:r>
          </w:p>
        </w:tc>
        <w:tc>
          <w:tcPr>
            <w:tcW w:type="dxa" w:w="7240"/>
            <w:shd w:fill="F8FAFC"/>
            <w:tcMar>
              <w:top w:w="70" w:type="dxa"/>
              <w:start w:w="100" w:type="dxa"/>
              <w:bottom w:w="70" w:type="dxa"/>
              <w:end w:w="100" w:type="dxa"/>
            </w:tcMar>
            <w:vAlign w:val="top"/>
          </w:tcPr>
          <w:p>
            <w:pPr>
              <w:keepNext w:val="0"/>
              <w:spacing w:before="0" w:after="0" w:line="259" w:lineRule="auto"/>
            </w:pPr>
            <w:r>
              <w:rPr>
                <w:rFonts w:ascii="Arial" w:hAnsi="Arial" w:eastAsia="Microsoft YaHei"/>
                <w:b w:val="0"/>
                <w:color w:val="1F2937"/>
                <w:sz w:val="18"/>
              </w:rPr>
              <w:t>同一指标存在多个阈值时不得合并或取平均；必须匹配样本、平台、示踪剂、量表版本、年龄和诊断框架。</w:t>
            </w:r>
          </w:p>
        </w:tc>
      </w:tr>
    </w:tbl>
    <w:p>
      <w:pPr>
        <w:keepNext w:val="0"/>
        <w:spacing w:before="0" w:after="20" w:line="276" w:lineRule="auto"/>
      </w:pPr>
    </w:p>
    <w:sectPr w:rsidR="00FC693F" w:rsidRPr="0006063C" w:rsidSect="00034616">
      <w:pgSz w:w="11906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