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Calibri" w:hAnsi="Calibri" w:eastAsia="微软雅黑"/>
          <w:b/>
          <w:color w:val="163A5F"/>
          <w:sz w:val="44"/>
        </w:rPr>
        <w:t>脂肪肝标准简明汇总</w:t>
      </w:r>
    </w:p>
    <w:p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color w:val="5B6573"/>
          <w:sz w:val="21"/>
        </w:rPr>
        <w:t>AI知识库标准文档</w:t>
      </w:r>
    </w:p>
    <w:p>
      <w:pPr>
        <w:pStyle w:val="Heading1"/>
        <w:spacing w:before="320" w:after="160" w:line="276" w:lineRule="auto"/>
      </w:pPr>
      <w:r>
        <w:rPr>
          <w:rFonts w:ascii="Calibri" w:hAnsi="Calibri" w:eastAsia="微软雅黑"/>
          <w:b/>
          <w:color w:val="2E74B5"/>
          <w:sz w:val="32"/>
        </w:rPr>
        <w:t>一、AI使用规则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统一规则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metric_name（指标名称）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必须使用“英文缩写（中文名称）”格式；英文缩写作为主键，中文名称用于解释。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normal_range（正常指标）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记录参考范围或方向；范围可能因实验室、性别、年龄和设备不同而变化。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fatty_liver_grade（脂肪肝程度）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仅描述脂肪含量/影像学程度：正常、轻度、中度、重度；不得用纤维化指标替代。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fibrosis_risk（纤维化风险）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单独记录 LSM（肝脏硬度）、FIB-4（纤维化-4指数）、NFS（NAFLD纤维化评分）等结果。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special_case（特殊情况）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记录MAFLD、酒精摄入、设备限制、病理金标准及不同研究口径；与主标准分开。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单位和比较符号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保留原始单位；统一使用 &lt;、≤、&gt;、≥、–；百分比用 %，压力用 mmHg，硬度用 kPa。</w:t>
            </w:r>
          </w:p>
        </w:tc>
      </w:tr>
    </w:tbl>
    <w:p>
      <w:pPr>
        <w:spacing w:before="0" w:after="120" w:line="288" w:lineRule="auto"/>
      </w:pPr>
    </w:p>
    <w:p>
      <w:pPr>
        <w:pStyle w:val="Heading1"/>
        <w:spacing w:before="320" w:after="160" w:line="276" w:lineRule="auto"/>
      </w:pPr>
      <w:r>
        <w:rPr>
          <w:rFonts w:ascii="Calibri" w:hAnsi="Calibri" w:eastAsia="微软雅黑"/>
          <w:b/>
          <w:color w:val="2E74B5"/>
          <w:sz w:val="32"/>
        </w:rPr>
        <w:t>二、指标标准字典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2350"/>
        <w:gridCol w:w="3900"/>
        <w:gridCol w:w="1060"/>
      </w:tblGrid>
      <w:tr>
        <w:trPr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metric_name（指标名称）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normal_range（正常指标）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fatty_liver_grade（脂肪肝标准）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unit（单位）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ALT（谷丙转氨酶）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男性约 9–50；女性约 7–40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不用于单独分级；可正常、轻度升高或明显升高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U/L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AST（谷草转氨酶）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约 15–40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不用于单独分级；明显升高需评估肝损伤病因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U/L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GGT（γ-谷氨酰转肽酶）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男性约 10–60；女性约 7–45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不用于单独分级；升高可提示代谢、酒精或胆汁淤积风险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U/L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ALP（碱性磷酸酶）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约 40–120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不用于单独分级；异常时排查胆汁淤积等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U/L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TBIL（总胆红素）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≤ 17.1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不用于脂肪含量分级；升高需评估肝胆疾病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μmol/L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DBIL（直接胆红素）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按实验室参考范围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不用于单独分级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μmol/L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TP（总蛋白）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约 60–85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不用于单独分级；异常可提示合成功能或营养问题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g/L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ALB（白蛋白）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≥ 35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不用于单独分级；降低需评估肝合成功能等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g/L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TG（甘油三酯）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1.70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代谢异常组分：≥ 1.70；不能单独确定轻/中/重度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mmol/L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TC（总胆固醇）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5.20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升高提示心代谢风险，不单独分级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mmol/L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LDL-C（低密度脂蛋白胆固醇）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3.40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升高提示心代谢风险，不单独分级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mmol/L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HDL-C（高密度脂蛋白胆固醇）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男性 &gt; 1.00；女性 &gt; 1.30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男性 ≤ 1.00或女性 ≤ 1.30属于代谢异常组分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mmol/L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FPG（空腹血糖）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6.10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≥ 6.10属于代谢异常组分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mmol/L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HbA1c（糖化血红蛋白）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5.70%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≥ 5.70%属于血糖代谢异常组分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HOMA-IR（稳态模型胰岛素抵抗指数）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研究/实验室特定；常用 ≥ 2.5提示异常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可作为MAFLD代谢异常证据，不用于脂肪含量分级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无量纲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BMI（体质指数）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18.5–23.9 kg/m²常作正常参考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≥ 24.0 kg/m²：超重/肥胖代谢异常证据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kg/m²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WAIST（腰围）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男性 &lt; 90；女性 &lt; 85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男性 ≥ 90 cm或女性 ≥ 85 cm：中心性肥胖证据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cm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LFC（肝脏脂肪含量）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5%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轻度 5%–10%；中度 10%–25%；重度 &gt; 25%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CAP（受控衰减参数）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248（M探头常用参考）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轻度/≥S1：≥248；中度/≥S2：≥268；重度/S3：≥294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dB/m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UAP（超声衰减参数）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244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轻度/≥S1：≥244；中度/≥S2：≥269；重度/S3：≥296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dB/m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MRI-PDFF（磁共振质子密度脂肪分数）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5%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≥5%提示脂肪变性；约5%–14%轻度，14%–28%中度，&gt;28%重度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LFF（肝脏脂肪分数）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5%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轻度：5% ≤ LFF &lt; 15%；中度：15% ≤ LFF &lt; 25%；重度：LFF ≥ 25%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CTL/S（肝脾CT比值）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≥ 1.0常作正常参考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轻度：CTL/S ≥ 0.7（原文未规定上限）；中度：0.5 ≤ CTL/S &lt; 0.7；重度：CTL/S &lt; 0.5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无量纲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LSM（肝脏硬度）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8.0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8.0–12.0提示显著纤维化风险；&gt;12.0提示进展期风险；≥20.0提示肝硬化可能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kPa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FIB-4（纤维化-4指数）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1.30：低风险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1.30–2.67：中间风险；&gt;2.67：进展期纤维化风险；≥3.48：更高风险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无量纲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NFS（NAFLD纤维化评分）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-1.455：低风险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&gt; 0.676：进展期纤维化风险</w:t>
            </w:r>
          </w:p>
        </w:tc>
        <w:tc>
          <w:tcPr>
            <w:tcW w:type="dxa" w:w="1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无量纲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PLT（血小板计数）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按实验室参考范围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用于FIB-4等纤维化评分；不单独用于脂肪含量分级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10⁹/L</w:t>
            </w:r>
          </w:p>
        </w:tc>
      </w:tr>
    </w:tbl>
    <w:p>
      <w:pPr>
        <w:spacing w:before="0" w:after="120" w:line="288" w:lineRule="auto"/>
      </w:pPr>
    </w:p>
    <w:p>
      <w:pPr>
        <w:pStyle w:val="Heading1"/>
        <w:spacing w:before="320" w:after="160" w:line="276" w:lineRule="auto"/>
      </w:pPr>
      <w:r>
        <w:rPr>
          <w:rFonts w:ascii="Calibri" w:hAnsi="Calibri" w:eastAsia="微软雅黑"/>
          <w:b/>
          <w:color w:val="2E74B5"/>
          <w:sz w:val="32"/>
        </w:rPr>
        <w:t>三、脂肪肝程度主标准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1925"/>
        <w:gridCol w:w="1925"/>
        <w:gridCol w:w="1925"/>
        <w:gridCol w:w="1935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判断方法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正常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轻度脂肪肝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中度脂肪肝</w:t>
            </w:r>
          </w:p>
        </w:tc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重度脂肪肝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LFC（肝脏脂肪含量）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5%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5%–10%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10%–25%</w:t>
            </w:r>
          </w:p>
        </w:tc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&gt; 25%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US（超声）</w:t>
            </w:r>
          </w:p>
        </w:tc>
        <w:tc>
          <w:tcPr>
            <w:tcW w:type="dxa" w:w="192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肝回声正常，血管清楚</w:t>
            </w:r>
          </w:p>
        </w:tc>
        <w:tc>
          <w:tcPr>
            <w:tcW w:type="dxa" w:w="192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肝回声稍增强；血管尚清晰；后场衰减不明显</w:t>
            </w:r>
          </w:p>
        </w:tc>
        <w:tc>
          <w:tcPr>
            <w:tcW w:type="dxa" w:w="192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肝回声明显增强；血管显示减弱；后场衰减</w:t>
            </w:r>
          </w:p>
        </w:tc>
        <w:tc>
          <w:tcPr>
            <w:tcW w:type="dxa" w:w="193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回声显著增强；血管/膈肌模糊；后场衰减明显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MRI-PDFF（磁共振质子密度脂肪分数）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5%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约 5%–14%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约 14%–28%</w:t>
            </w:r>
          </w:p>
        </w:tc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&gt; 28%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LFF（肝脏脂肪分数）</w:t>
            </w:r>
          </w:p>
        </w:tc>
        <w:tc>
          <w:tcPr>
            <w:tcW w:type="dxa" w:w="192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5%</w:t>
            </w:r>
          </w:p>
        </w:tc>
        <w:tc>
          <w:tcPr>
            <w:tcW w:type="dxa" w:w="192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5% ≤ LFF &lt; 15%</w:t>
            </w:r>
          </w:p>
        </w:tc>
        <w:tc>
          <w:tcPr>
            <w:tcW w:type="dxa" w:w="192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15% ≤ LFF &lt; 25%</w:t>
            </w:r>
          </w:p>
        </w:tc>
        <w:tc>
          <w:tcPr>
            <w:tcW w:type="dxa" w:w="193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LFF ≥ 25%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CTL/S（肝脾CT比值）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CTL/S ≥ 1.0（常作正常参考）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CTL/S ≥ 0.7（原文未规定上限）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0.5 ≤ CTL/S &lt; 0.7</w:t>
            </w:r>
          </w:p>
        </w:tc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CTL/S &lt; 0.5</w:t>
            </w:r>
          </w:p>
        </w:tc>
      </w:tr>
    </w:tbl>
    <w:p>
      <w:pPr>
        <w:spacing w:before="0" w:after="120" w:line="288" w:lineRule="auto"/>
      </w:pPr>
    </w:p>
    <w:p>
      <w:pPr>
        <w:pStyle w:val="Heading1"/>
        <w:spacing w:before="320" w:after="160" w:line="276" w:lineRule="auto"/>
      </w:pPr>
      <w:r>
        <w:rPr>
          <w:rFonts w:ascii="Calibri" w:hAnsi="Calibri" w:eastAsia="微软雅黑"/>
          <w:b/>
          <w:color w:val="2E74B5"/>
          <w:sz w:val="32"/>
        </w:rPr>
        <w:t>四、病理学金标准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1740"/>
        <w:gridCol w:w="1740"/>
        <w:gridCol w:w="1740"/>
        <w:gridCol w:w="174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metric_name（指标名称）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正常/无脂肪变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轻度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中度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重度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Histology（组织学脂肪变性比例）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&lt; 5%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5%–33%（S1）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34%–66%（S2）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≥67%（S3）</w:t>
            </w:r>
          </w:p>
        </w:tc>
      </w:tr>
      <w:tr>
        <w:trPr>
          <w:cantSplit/>
        </w:trP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MASH（代谢功能障碍相关脂肪性肝炎）</w:t>
            </w:r>
          </w:p>
        </w:tc>
        <w:tc>
          <w:tcPr>
            <w:tcW w:type="dxa" w:w="17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无脂肪变或无炎症</w:t>
            </w:r>
          </w:p>
        </w:tc>
        <w:tc>
          <w:tcPr>
            <w:tcW w:type="dxa" w:w="17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脂肪变≥5%，并伴气球样变、小叶内炎症和/或门管区炎症</w:t>
            </w:r>
          </w:p>
        </w:tc>
        <w:tc>
          <w:tcPr>
            <w:tcW w:type="dxa" w:w="17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同左，炎症/损伤程度增加</w:t>
            </w:r>
          </w:p>
        </w:tc>
        <w:tc>
          <w:tcPr>
            <w:tcW w:type="dxa" w:w="17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同左，并结合纤维化分期</w:t>
            </w:r>
          </w:p>
        </w:tc>
      </w:tr>
    </w:tbl>
    <w:p>
      <w:pPr>
        <w:spacing w:before="0" w:after="120" w:line="288" w:lineRule="auto"/>
      </w:pPr>
    </w:p>
    <w:p>
      <w:pPr>
        <w:pStyle w:val="Heading1"/>
        <w:spacing w:before="320" w:after="160" w:line="276" w:lineRule="auto"/>
      </w:pPr>
      <w:r>
        <w:rPr>
          <w:rFonts w:ascii="Calibri" w:hAnsi="Calibri" w:eastAsia="微软雅黑"/>
          <w:b/>
          <w:color w:val="2E74B5"/>
          <w:sz w:val="32"/>
        </w:rPr>
        <w:t>五、特殊情况与补充口径</w:t>
      </w:r>
    </w:p>
    <w:p>
      <w:pPr>
        <w:spacing w:before="0" w:after="120" w:line="288" w:lineRule="auto"/>
      </w:pPr>
      <w:r>
        <w:rPr>
          <w:rFonts w:ascii="Calibri" w:hAnsi="Calibri" w:eastAsia="微软雅黑"/>
          <w:b/>
          <w:color w:val="1F2937"/>
          <w:sz w:val="20"/>
        </w:rPr>
        <w:t>MAFLD（代谢相关脂肪性肝病）：</w:t>
      </w:r>
      <w:r>
        <w:rPr>
          <w:rFonts w:ascii="Calibri" w:hAnsi="Calibri" w:eastAsia="微软雅黑"/>
          <w:b w:val="0"/>
          <w:color w:val="1F2937"/>
          <w:sz w:val="20"/>
        </w:rPr>
        <w:t>必须有影像学或组织学脂肪变性证据，并至少有一项代谢异常：BMI（体质指数）≥24.0 kg/m²、WAIST（腰围）超标、FPG（空腹血糖）/HbA1c（糖化血红蛋白）异常、TG（甘油三酯）升高、HDL-C（高密度脂蛋白胆固醇）降低或血压升高。</w:t>
      </w:r>
    </w:p>
    <w:p>
      <w:pPr>
        <w:spacing w:before="0" w:after="120" w:line="288" w:lineRule="auto"/>
      </w:pPr>
      <w:r>
        <w:rPr>
          <w:rFonts w:ascii="Calibri" w:hAnsi="Calibri" w:eastAsia="微软雅黑"/>
          <w:b/>
          <w:color w:val="1F2937"/>
          <w:sz w:val="20"/>
        </w:rPr>
        <w:t>ALD（酒精性肝病）：</w:t>
      </w:r>
      <w:r>
        <w:rPr>
          <w:rFonts w:ascii="Calibri" w:hAnsi="Calibri" w:eastAsia="微软雅黑"/>
          <w:b w:val="0"/>
          <w:color w:val="1F2937"/>
          <w:sz w:val="20"/>
        </w:rPr>
        <w:t>需要单独记录饮酒史。常用过量饮酒排除阈值：男性乙醇≥210 g/周，女性乙醇≥140 g/周；不能把ALD（酒精性肝病）标准与NAFLD（非酒精性脂肪性肝病）标准混用。</w:t>
      </w:r>
    </w:p>
    <w:p>
      <w:pPr>
        <w:spacing w:before="0" w:after="120" w:line="288" w:lineRule="auto"/>
      </w:pPr>
      <w:r>
        <w:rPr>
          <w:rFonts w:ascii="Calibri" w:hAnsi="Calibri" w:eastAsia="微软雅黑"/>
          <w:b/>
          <w:color w:val="1F2937"/>
          <w:sz w:val="20"/>
        </w:rPr>
        <w:t>NAFLD（非酒精性脂肪性肝病）：</w:t>
      </w:r>
      <w:r>
        <w:rPr>
          <w:rFonts w:ascii="Calibri" w:hAnsi="Calibri" w:eastAsia="微软雅黑"/>
          <w:b w:val="0"/>
          <w:color w:val="1F2937"/>
          <w:sz w:val="20"/>
        </w:rPr>
        <w:t>诊断通常需要脂肪变性证据，并排除过量饮酒、病毒性肝炎、药物、自身免疫、遗传和营养等其他原因。</w:t>
      </w:r>
    </w:p>
    <w:p>
      <w:pPr>
        <w:spacing w:before="0" w:after="120" w:line="288" w:lineRule="auto"/>
      </w:pPr>
      <w:r>
        <w:rPr>
          <w:rFonts w:ascii="Calibri" w:hAnsi="Calibri" w:eastAsia="微软雅黑"/>
          <w:b/>
          <w:color w:val="1F2937"/>
          <w:sz w:val="20"/>
        </w:rPr>
        <w:t>设备差异：</w:t>
      </w:r>
      <w:r>
        <w:rPr>
          <w:rFonts w:ascii="Calibri" w:hAnsi="Calibri" w:eastAsia="微软雅黑"/>
          <w:b w:val="0"/>
          <w:color w:val="1F2937"/>
          <w:sz w:val="20"/>
        </w:rPr>
        <w:t>CAP（受控衰减参数）和UAP（超声衰减参数）受探头型号、肥胖和皮肤至肝包膜距离影响；LSM（肝脏硬度）受炎症、胆汁淤积、充血和肥胖影响。</w:t>
      </w:r>
    </w:p>
    <w:p>
      <w:pPr>
        <w:spacing w:before="0" w:after="120" w:line="288" w:lineRule="auto"/>
      </w:pPr>
      <w:r>
        <w:rPr>
          <w:rFonts w:ascii="Calibri" w:hAnsi="Calibri" w:eastAsia="微软雅黑"/>
          <w:b/>
          <w:color w:val="1F2937"/>
          <w:sz w:val="20"/>
        </w:rPr>
        <w:t>维度分离：</w:t>
      </w:r>
      <w:r>
        <w:rPr>
          <w:rFonts w:ascii="Calibri" w:hAnsi="Calibri" w:eastAsia="微软雅黑"/>
          <w:b w:val="0"/>
          <w:color w:val="1F2937"/>
          <w:sz w:val="20"/>
        </w:rPr>
        <w:t>LFC（肝脏脂肪含量）/CAP（受控衰减参数）/MRI-PDFF（磁共振质子密度脂肪分数）用于脂肪变性；LSM（肝脏硬度）/FIB-4（纤维化-4指数）/NFS（NAFLD纤维化评分）用于纤维化风险，二者不得互相替代。</w:t>
      </w:r>
    </w:p>
    <w:p>
      <w:pPr>
        <w:spacing w:before="0" w:after="120" w:line="288" w:lineRule="auto"/>
      </w:pPr>
      <w:r>
        <w:rPr>
          <w:rFonts w:ascii="Calibri" w:hAnsi="Calibri" w:eastAsia="微软雅黑"/>
          <w:b/>
          <w:color w:val="1F2937"/>
          <w:sz w:val="20"/>
        </w:rPr>
        <w:t>肝功能解释：</w:t>
      </w:r>
      <w:r>
        <w:rPr>
          <w:rFonts w:ascii="Calibri" w:hAnsi="Calibri" w:eastAsia="微软雅黑"/>
          <w:b w:val="0"/>
          <w:color w:val="1F2937"/>
          <w:sz w:val="20"/>
        </w:rPr>
        <w:t>ALT（谷丙转氨酶）、AST（谷草转氨酶）和GGT（γ-谷氨酰转肽酶）正常，不能排除轻度脂肪肝；异常也不能单独确定脂肪肝程度。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微软雅黑"/>
        <w:b w:val="0"/>
        <w:color w:val="5B6573"/>
        <w:sz w:val="16"/>
      </w:rPr>
      <w:t>供AI检索、抽取和规则判断使用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微软雅黑"/>
        <w:b w:val="0"/>
        <w:color w:val="5B6573"/>
        <w:sz w:val="16"/>
      </w:rPr>
      <w:t>脂肪肝标准 · AI知识库版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微软雅黑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