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5B681" w14:textId="25C1735F" w:rsidR="00F828FD" w:rsidRPr="00F828FD" w:rsidRDefault="00F828FD" w:rsidP="00F828FD">
      <w:pPr>
        <w:spacing w:after="0" w:line="360" w:lineRule="auto"/>
        <w:jc w:val="center"/>
        <w:rPr>
          <w:rFonts w:ascii="Times New Roman" w:hAnsi="Times New Roman" w:cs="Times New Roman"/>
          <w:b/>
          <w:bCs/>
          <w:sz w:val="21"/>
          <w:szCs w:val="21"/>
        </w:rPr>
      </w:pPr>
      <w:r w:rsidRPr="00F828FD">
        <w:rPr>
          <w:rFonts w:ascii="Times New Roman" w:hAnsi="Times New Roman" w:cs="Times New Roman"/>
          <w:b/>
          <w:bCs/>
          <w:sz w:val="21"/>
          <w:szCs w:val="21"/>
        </w:rPr>
        <w:t>Accounting Information Disclosure, Institutional Investment Attraction, and Sustainable Development of Tourism Enterprises</w:t>
      </w:r>
    </w:p>
    <w:p w14:paraId="73E409B8" w14:textId="0973CEF8" w:rsidR="00F828FD" w:rsidRPr="00F828FD" w:rsidRDefault="00F828FD" w:rsidP="00F828FD">
      <w:pPr>
        <w:spacing w:after="0" w:line="360" w:lineRule="auto"/>
        <w:jc w:val="center"/>
        <w:rPr>
          <w:rFonts w:ascii="Times New Roman" w:hAnsi="Times New Roman" w:cs="Times New Roman"/>
          <w:sz w:val="21"/>
          <w:szCs w:val="21"/>
        </w:rPr>
      </w:pPr>
      <w:r w:rsidRPr="00F828FD">
        <w:rPr>
          <w:rFonts w:ascii="Times New Roman" w:hAnsi="Times New Roman" w:cs="Times New Roman"/>
          <w:sz w:val="21"/>
          <w:szCs w:val="21"/>
        </w:rPr>
        <w:t>Ou Zhonghui¹, Jiang Manlin²</w:t>
      </w:r>
    </w:p>
    <w:p w14:paraId="0D0C2498" w14:textId="3AD7B033" w:rsidR="00F828FD" w:rsidRPr="00F828FD" w:rsidRDefault="00F828FD" w:rsidP="00F828FD">
      <w:pPr>
        <w:spacing w:after="0" w:line="360" w:lineRule="auto"/>
        <w:jc w:val="both"/>
        <w:rPr>
          <w:rFonts w:ascii="Times New Roman" w:hAnsi="Times New Roman" w:cs="Times New Roman"/>
          <w:sz w:val="21"/>
          <w:szCs w:val="21"/>
        </w:rPr>
      </w:pPr>
      <w:r w:rsidRPr="00F828FD">
        <w:rPr>
          <w:rFonts w:ascii="Times New Roman" w:hAnsi="Times New Roman" w:cs="Times New Roman"/>
          <w:sz w:val="21"/>
          <w:szCs w:val="21"/>
        </w:rPr>
        <w:t>(1. School of Tourism and E-commerce, Baise University, Baise, Guangxi 533000; 2. School of Business, Guilin University of Electronic Technology, Guilin, Guangxi 541004)</w:t>
      </w:r>
    </w:p>
    <w:p w14:paraId="2CFE6A8E" w14:textId="374A90D8" w:rsidR="00F828FD" w:rsidRPr="00F828FD" w:rsidRDefault="00F828FD" w:rsidP="00F828FD">
      <w:pPr>
        <w:spacing w:after="0" w:line="360" w:lineRule="auto"/>
        <w:jc w:val="center"/>
        <w:rPr>
          <w:rFonts w:ascii="Times New Roman" w:hAnsi="Times New Roman" w:cs="Times New Roman"/>
          <w:sz w:val="21"/>
          <w:szCs w:val="21"/>
        </w:rPr>
      </w:pPr>
      <w:r w:rsidRPr="00F828FD">
        <w:rPr>
          <w:rFonts w:ascii="Times New Roman" w:hAnsi="Times New Roman" w:cs="Times New Roman"/>
          <w:sz w:val="21"/>
          <w:szCs w:val="21"/>
        </w:rPr>
        <w:t>Abstract</w:t>
      </w:r>
    </w:p>
    <w:p w14:paraId="4D6B2704" w14:textId="1532C193"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The development of tourism enterprises plays an important role in promoting China's tertiary industry and enhancing economic vitality. How to promote the sustainable development of tourism enterprises is a significant issue. From the perspective of enterprise sustainable development, this paper explores how the quality of accounting information disclosure affects the sustainable development of tourism enterprises and analyzes the underlying mechanisms. The research finds that higher quality accounting information disclosure can promote sustainable development of enterprises. Mechanism testing shows that high-quality accounting information can attract more institutional investors, thereby promoting sustainable development of enterprises through the supervisory governance role of institutional investors.</w:t>
      </w:r>
    </w:p>
    <w:p w14:paraId="3C53F22D" w14:textId="3E6C6796" w:rsidR="00F828FD" w:rsidRPr="00F828FD" w:rsidRDefault="00F828FD" w:rsidP="00F828FD">
      <w:pPr>
        <w:spacing w:after="0" w:line="360" w:lineRule="auto"/>
        <w:jc w:val="both"/>
        <w:rPr>
          <w:rFonts w:ascii="Times New Roman" w:hAnsi="Times New Roman" w:cs="Times New Roman"/>
          <w:sz w:val="21"/>
          <w:szCs w:val="21"/>
        </w:rPr>
      </w:pPr>
    </w:p>
    <w:p w14:paraId="22C49B5F" w14:textId="17C8C5FD" w:rsidR="00F828FD" w:rsidRPr="00F828FD" w:rsidRDefault="00F828FD" w:rsidP="00F828FD">
      <w:pPr>
        <w:spacing w:after="0" w:line="360" w:lineRule="auto"/>
        <w:jc w:val="both"/>
        <w:rPr>
          <w:rFonts w:ascii="Times New Roman" w:hAnsi="Times New Roman" w:cs="Times New Roman"/>
          <w:sz w:val="21"/>
          <w:szCs w:val="21"/>
        </w:rPr>
      </w:pPr>
      <w:r w:rsidRPr="00F828FD">
        <w:rPr>
          <w:rFonts w:ascii="Times New Roman" w:hAnsi="Times New Roman" w:cs="Times New Roman"/>
          <w:b/>
          <w:bCs/>
          <w:sz w:val="21"/>
          <w:szCs w:val="21"/>
        </w:rPr>
        <w:t>Keywords:</w:t>
      </w:r>
      <w:r w:rsidRPr="00F828FD">
        <w:rPr>
          <w:rFonts w:ascii="Times New Roman" w:hAnsi="Times New Roman" w:cs="Times New Roman"/>
          <w:sz w:val="21"/>
          <w:szCs w:val="21"/>
        </w:rPr>
        <w:t xml:space="preserve"> Accounting Information Disclosure; Sustainable Development; Institutional Investors</w:t>
      </w:r>
    </w:p>
    <w:p w14:paraId="6B8959F6" w14:textId="77777777" w:rsidR="00F828FD" w:rsidRPr="00F828FD" w:rsidRDefault="00F828FD" w:rsidP="00F828FD">
      <w:pPr>
        <w:spacing w:after="0" w:line="360" w:lineRule="auto"/>
        <w:jc w:val="both"/>
        <w:rPr>
          <w:rFonts w:ascii="Times New Roman" w:hAnsi="Times New Roman" w:cs="Times New Roman"/>
          <w:sz w:val="21"/>
          <w:szCs w:val="21"/>
        </w:rPr>
      </w:pPr>
    </w:p>
    <w:p w14:paraId="689436DE" w14:textId="77777777" w:rsidR="00F828FD" w:rsidRPr="00F828FD" w:rsidRDefault="00F828FD" w:rsidP="00F828FD">
      <w:pPr>
        <w:spacing w:after="0" w:line="360" w:lineRule="auto"/>
        <w:jc w:val="both"/>
        <w:rPr>
          <w:rFonts w:ascii="Times New Roman" w:hAnsi="Times New Roman" w:cs="Times New Roman"/>
          <w:sz w:val="21"/>
          <w:szCs w:val="21"/>
        </w:rPr>
      </w:pPr>
    </w:p>
    <w:p w14:paraId="60A6E039" w14:textId="77777777" w:rsidR="00F828FD" w:rsidRPr="00F828FD" w:rsidRDefault="00F828FD" w:rsidP="00F828FD">
      <w:pPr>
        <w:spacing w:after="0" w:line="360" w:lineRule="auto"/>
        <w:jc w:val="both"/>
        <w:rPr>
          <w:rFonts w:ascii="Times New Roman" w:hAnsi="Times New Roman" w:cs="Times New Roman"/>
          <w:sz w:val="21"/>
          <w:szCs w:val="21"/>
        </w:rPr>
      </w:pPr>
    </w:p>
    <w:p w14:paraId="55EE377A" w14:textId="77777777" w:rsidR="00F828FD" w:rsidRPr="00F828FD" w:rsidRDefault="00F828FD" w:rsidP="00F828FD">
      <w:pPr>
        <w:spacing w:after="0" w:line="360" w:lineRule="auto"/>
        <w:jc w:val="both"/>
        <w:rPr>
          <w:rFonts w:ascii="Times New Roman" w:hAnsi="Times New Roman" w:cs="Times New Roman"/>
          <w:sz w:val="21"/>
          <w:szCs w:val="21"/>
        </w:rPr>
      </w:pPr>
    </w:p>
    <w:p w14:paraId="76C46086" w14:textId="77777777" w:rsidR="00F828FD" w:rsidRPr="00F828FD" w:rsidRDefault="00F828FD" w:rsidP="00F828FD">
      <w:pPr>
        <w:spacing w:after="0" w:line="360" w:lineRule="auto"/>
        <w:jc w:val="both"/>
        <w:rPr>
          <w:rFonts w:ascii="Times New Roman" w:hAnsi="Times New Roman" w:cs="Times New Roman"/>
          <w:sz w:val="21"/>
          <w:szCs w:val="21"/>
        </w:rPr>
      </w:pPr>
    </w:p>
    <w:p w14:paraId="3B6B0624" w14:textId="77777777" w:rsidR="00F828FD" w:rsidRPr="00F828FD" w:rsidRDefault="00F828FD" w:rsidP="00F828FD">
      <w:pPr>
        <w:spacing w:after="0" w:line="360" w:lineRule="auto"/>
        <w:jc w:val="both"/>
        <w:rPr>
          <w:rFonts w:ascii="Times New Roman" w:hAnsi="Times New Roman" w:cs="Times New Roman"/>
          <w:sz w:val="21"/>
          <w:szCs w:val="21"/>
        </w:rPr>
      </w:pPr>
    </w:p>
    <w:p w14:paraId="493B3366" w14:textId="77777777" w:rsidR="00F828FD" w:rsidRPr="00F828FD" w:rsidRDefault="00F828FD" w:rsidP="00F828FD">
      <w:pPr>
        <w:spacing w:after="0" w:line="360" w:lineRule="auto"/>
        <w:jc w:val="both"/>
        <w:rPr>
          <w:rFonts w:ascii="Times New Roman" w:hAnsi="Times New Roman" w:cs="Times New Roman"/>
          <w:sz w:val="21"/>
          <w:szCs w:val="21"/>
        </w:rPr>
      </w:pPr>
    </w:p>
    <w:p w14:paraId="62142DAE" w14:textId="77777777" w:rsidR="00F828FD" w:rsidRPr="00F828FD" w:rsidRDefault="00F828FD" w:rsidP="00F828FD">
      <w:pPr>
        <w:spacing w:after="0" w:line="360" w:lineRule="auto"/>
        <w:jc w:val="both"/>
        <w:rPr>
          <w:rFonts w:ascii="Times New Roman" w:hAnsi="Times New Roman" w:cs="Times New Roman"/>
          <w:sz w:val="21"/>
          <w:szCs w:val="21"/>
        </w:rPr>
      </w:pPr>
    </w:p>
    <w:p w14:paraId="3E2E3BD2" w14:textId="77777777" w:rsidR="00F828FD" w:rsidRPr="00F828FD" w:rsidRDefault="00F828FD" w:rsidP="00F828FD">
      <w:pPr>
        <w:spacing w:after="0" w:line="360" w:lineRule="auto"/>
        <w:jc w:val="both"/>
        <w:rPr>
          <w:rFonts w:ascii="Times New Roman" w:hAnsi="Times New Roman" w:cs="Times New Roman"/>
          <w:sz w:val="21"/>
          <w:szCs w:val="21"/>
        </w:rPr>
      </w:pPr>
    </w:p>
    <w:p w14:paraId="0538F76D" w14:textId="77777777" w:rsidR="00F828FD" w:rsidRPr="00F828FD" w:rsidRDefault="00F828FD" w:rsidP="00F828FD">
      <w:pPr>
        <w:spacing w:after="0" w:line="360" w:lineRule="auto"/>
        <w:jc w:val="both"/>
        <w:rPr>
          <w:rFonts w:ascii="Times New Roman" w:hAnsi="Times New Roman" w:cs="Times New Roman"/>
          <w:sz w:val="21"/>
          <w:szCs w:val="21"/>
        </w:rPr>
      </w:pPr>
    </w:p>
    <w:p w14:paraId="346BA58F" w14:textId="77777777" w:rsidR="00F828FD" w:rsidRPr="00F828FD" w:rsidRDefault="00F828FD" w:rsidP="00F828FD">
      <w:pPr>
        <w:spacing w:after="0" w:line="360" w:lineRule="auto"/>
        <w:jc w:val="both"/>
        <w:rPr>
          <w:rFonts w:ascii="Times New Roman" w:hAnsi="Times New Roman" w:cs="Times New Roman"/>
          <w:sz w:val="21"/>
          <w:szCs w:val="21"/>
        </w:rPr>
      </w:pPr>
    </w:p>
    <w:p w14:paraId="4847FD06" w14:textId="77777777" w:rsidR="00F828FD" w:rsidRPr="00F828FD" w:rsidRDefault="00F828FD" w:rsidP="00F828FD">
      <w:pPr>
        <w:spacing w:after="0" w:line="360" w:lineRule="auto"/>
        <w:jc w:val="both"/>
        <w:rPr>
          <w:rFonts w:ascii="Times New Roman" w:hAnsi="Times New Roman" w:cs="Times New Roman"/>
          <w:sz w:val="21"/>
          <w:szCs w:val="21"/>
        </w:rPr>
      </w:pPr>
    </w:p>
    <w:p w14:paraId="2748A54C" w14:textId="0870A34B" w:rsidR="00F828FD" w:rsidRPr="00F828FD" w:rsidRDefault="00F828FD" w:rsidP="00F828FD">
      <w:pPr>
        <w:spacing w:after="0" w:line="360" w:lineRule="auto"/>
        <w:jc w:val="center"/>
        <w:rPr>
          <w:rFonts w:ascii="Times New Roman" w:hAnsi="Times New Roman" w:cs="Times New Roman"/>
          <w:sz w:val="21"/>
          <w:szCs w:val="21"/>
        </w:rPr>
      </w:pPr>
      <w:r w:rsidRPr="00F828FD">
        <w:rPr>
          <w:rFonts w:ascii="Times New Roman" w:hAnsi="Times New Roman" w:cs="Times New Roman"/>
          <w:sz w:val="21"/>
          <w:szCs w:val="21"/>
        </w:rPr>
        <w:t>I. Introduction</w:t>
      </w:r>
    </w:p>
    <w:p w14:paraId="1E428111" w14:textId="64353848"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lastRenderedPageBreak/>
        <w:t>With the transformation of the social economy and the improvement of people's living standards, the development of the tourism industry is crucial. At the economic level, the tourism industry is an important force driving economic growth. The development of China's tourism enterprises is unevenly distributed, with unreasonable industry structure, small operating scale, generally poor operating capabilities, and a lack of influential Chinese tourism brand images in the industry and international tourism markets. The sustainable development of tourism enterprises has become a critical issue. Sustainable development means that while pursuing economic interests, enterprises must also fulfill responsibilities in environmental, social, and governance aspects. Achieving sustainable development of enterprises not only benefits their long-term stable development but also creates more value for society. How to promote the sustainable development of tourism enterprises has become an important research topic today.</w:t>
      </w:r>
    </w:p>
    <w:p w14:paraId="50DF3D69" w14:textId="68BD04CC"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There is a close relationship between accounting information disclosure and sustainable development of enterprises. High-quality accounting information disclosure can provide strong support for sustainable development of enterprises. First, transparent accounting information can help enterprise management better understand operating conditions and financial risks, thereby formulating more scientific and reasonable development strategies. Second, accounting information disclosure can convey sustainable development concepts and practices to stakeholders, enhancing their trust and support for the enterprise. In addition, good accounting information disclosure can attract more investors and partners, providing financial and resource guarantees for sustainable development of enterprises.</w:t>
      </w:r>
    </w:p>
    <w:p w14:paraId="1F43D829" w14:textId="77777777"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As important participants in the capital market, institutional investors play a significant role in sustainable development of enterprises. Institutional investors possess strong financial strength and professional investment capabilities, and their investment decisions often have important impacts on enterprise development. Institutional investors usually focus on the long-term development potential and sustainability of enterprises, promoting enterprises to strengthen environmental protection, social responsibility, and corporate governance through active participation in corporate governance. Does accounting information disclosure also affect institutional investors' decision-making, thereby promoting sustainable development of enterprises? This paper will empirically test these logical relationships.</w:t>
      </w:r>
    </w:p>
    <w:p w14:paraId="19154A6B" w14:textId="2894645A" w:rsidR="00F828FD" w:rsidRPr="00F828FD" w:rsidRDefault="00F828FD" w:rsidP="00F828FD">
      <w:pPr>
        <w:spacing w:after="0" w:line="360" w:lineRule="auto"/>
        <w:jc w:val="center"/>
        <w:rPr>
          <w:rFonts w:ascii="Times New Roman" w:hAnsi="Times New Roman" w:cs="Times New Roman"/>
          <w:sz w:val="21"/>
          <w:szCs w:val="21"/>
        </w:rPr>
      </w:pPr>
      <w:r w:rsidRPr="00F828FD">
        <w:rPr>
          <w:rFonts w:ascii="Times New Roman" w:hAnsi="Times New Roman" w:cs="Times New Roman"/>
          <w:sz w:val="21"/>
          <w:szCs w:val="21"/>
        </w:rPr>
        <w:t>II. Theoretical Analysis and Research Hypotheses</w:t>
      </w:r>
    </w:p>
    <w:p w14:paraId="58C8829F" w14:textId="77777777"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lastRenderedPageBreak/>
        <w:t>Sustainable development of tourism enterprises is of crucial importance in today's economic environment. From an economic perspective, sustainable development helps enterprises achieve long-term stable profitability and growth, prompting continuous innovation, optimizing resource allocation, and improving production efficiency, thereby maintaining an invincible position in fierce market competition. From a social perspective, sustainable enterprises can actively fulfill social responsibilities, provide high-quality products and services to society, and promote social harmony and stability. From an environmental perspective, sustainable enterprises pay more attention to environmental protection, reduce consumption of natural resources and environmental pollution, and help achieve coordinated development of economy and environment.</w:t>
      </w:r>
    </w:p>
    <w:p w14:paraId="27A06D2F" w14:textId="77777777"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The sustainable development of tourism enterprises is influenced by various factors. First, good corporate governance structure is an important guarantee for sustainable development of enterprises. Effective corporate governance can ensure the scientific nature and transparency of enterprise decision-making, and improve operational efficiency and risk management capabilities. Second, innovation capability is a key factor for sustainable development of enterprises. Only through continuous innovation and launching competitive products and services can enterprises meet market demands and achieve sustainable development. Third, enterprises' social responsibility awareness also plays an important role in sustainable development. Enterprises that actively fulfill social responsibilities can win social recognition and support, creating a favorable external environment for development. Few literatures analyze the impact on sustainable development of enterprises from the perspective of information effectiveness.</w:t>
      </w:r>
    </w:p>
    <w:p w14:paraId="4320E92B" w14:textId="77777777"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High-quality accounting information disclosure can provide strong support for sustainable development of enterprises. On one hand, tourism enterprise development often faces high uncertainty and environmental risks, with insufficient financial support. High-quality accounting information disclosure can enhance enterprise transparency and credibility, strengthen the confidence of investors, creditors, and other stakeholders in the enterprise, helping attract more financial support and providing adequate financial guarantees for enterprise development. On the other hand, high-quality accounting information disclosure can provide accurate decision-making basis for internal management, enabling tourism enterprises to better combine internal and external situations, formulate scientific and reasonable development strategies, optimize resource allocation, and promote sustainable development of enterprises. In summary, this paper believes that high-</w:t>
      </w:r>
      <w:r w:rsidRPr="00F828FD">
        <w:rPr>
          <w:rFonts w:ascii="Times New Roman" w:hAnsi="Times New Roman" w:cs="Times New Roman"/>
          <w:sz w:val="21"/>
          <w:szCs w:val="21"/>
        </w:rPr>
        <w:lastRenderedPageBreak/>
        <w:t>quality accounting information disclosure can promote sustainable development of enterprises. Therefore, this paper proposes the following hypothesis:</w:t>
      </w:r>
    </w:p>
    <w:p w14:paraId="232212F1" w14:textId="34BB27C0"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H1: High-quality accounting information disclosure can promote sustainable development of enterprises</w:t>
      </w:r>
    </w:p>
    <w:p w14:paraId="6915C7F7" w14:textId="77777777"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Institutional investors play an important role in enterprise development. First, institutional investors usually have professional investment analysis teams and rich investment experience, enabling them to conduct in-depth analysis and evaluation of enterprises' operating conditions, financial status, and development prospects. This professional analysis capability helps enterprises discover their own problems and deficiencies, thereby making timely adjustments and improvements. Second, institutional investors often have strong financial strength and extensive resource channels. Their investments can provide adequate financial support for enterprises, helping expand production scale, conduct technological innovation, and market expansion. High-quality accounting information is crucial for attracting institutional investors. On one hand, high-quality accounting information has characteristics of accuracy, reliability, and timeliness, truly reflecting enterprises' financial status and operating results. Institutional investors can accurately assess enterprise value and risk based on this information, making reasonable investment decisions. On the other hand, high-quality accounting information can enhance enterprise transparency and credibility, strengthening institutional investors' trust in enterprises. High-quality accounting information disclosure can attract institutional investors, thereby promoting sustainable development of enterprises. On one hand, high-quality accounting information disclosure can bring more excellent institutional investors, providing financial and resource support for enterprise development, thereby promoting sustainable development of enterprises. On the other hand, institutional investors usually actively participate in corporate governance, supervising and constraining enterprise management, prompting enterprises to improve management levels and decision-making scientific nature, helping promote sustainable development of enterprises. In addition, the existence of institutional investors can enhance enterprises' market attention and reputation, creating a favorable external environment for sustainable development. In summary, high-quality accounting information disclosure can attract institutional investors, thereby promoting sustainable development of enterprises. Therefore, this paper proposes the following hypothesis:</w:t>
      </w:r>
    </w:p>
    <w:p w14:paraId="782274DF" w14:textId="6DC0F3E2"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 xml:space="preserve">H2: High-quality accounting information disclosure can attract institutional investors, thereby </w:t>
      </w:r>
      <w:r w:rsidRPr="00F828FD">
        <w:rPr>
          <w:rFonts w:ascii="Times New Roman" w:hAnsi="Times New Roman" w:cs="Times New Roman"/>
          <w:sz w:val="21"/>
          <w:szCs w:val="21"/>
        </w:rPr>
        <w:lastRenderedPageBreak/>
        <w:t>promoting sustainable development of enterprises</w:t>
      </w:r>
    </w:p>
    <w:p w14:paraId="50F9D198" w14:textId="77777777"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State-owned tourism enterprises are generally large in scale, with abundant resources and financial strength. Meanwhile, due to their close connection with the government, they often receive certain policy support and resource preferences. State-owned enterprises usually pay more attention to achieving long-term social value and bear more social responsibilities during operation. This gives state-owned enterprises certain advantages in sustainable development, with higher levels of sustainable development. Non-state-owned tourism enterprises face greater financial pressure and fierce market competition in the market. Due to lack of direct government support, the survival and development of non-state-owned enterprises rely more on their own operating capabilities and market competitiveness. High-quality accounting information disclosure is crucial for non-state-owned enterprise development. Non-state-owned enterprises can use high-quality accounting information disclosure to convey positive signals to the market, obtain more financial support and resources, thereby better promoting sustainable development of enterprises. In summary, compared with state-owned enterprises, high-quality accounting information disclosure can better help non-state-owned enterprises attract more resources, improve competitiveness and survival capabilities, and thereby promote sustainable development of enterprises. Therefore, this paper proposes the following hypothesis:</w:t>
      </w:r>
    </w:p>
    <w:p w14:paraId="52454789" w14:textId="34A33840"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H3: Compared with state-owned enterprises, high-quality accounting information disclosure has a more significant promoting effect on sustainable development of non-state-owned enterprises</w:t>
      </w:r>
    </w:p>
    <w:p w14:paraId="249B1175" w14:textId="77777777" w:rsidR="00F828FD" w:rsidRPr="00F828FD" w:rsidRDefault="00F828FD" w:rsidP="00F828FD">
      <w:pPr>
        <w:spacing w:after="0" w:line="360" w:lineRule="auto"/>
        <w:jc w:val="both"/>
        <w:rPr>
          <w:rFonts w:ascii="Times New Roman" w:hAnsi="Times New Roman" w:cs="Times New Roman"/>
          <w:sz w:val="21"/>
          <w:szCs w:val="21"/>
        </w:rPr>
      </w:pPr>
    </w:p>
    <w:p w14:paraId="5A8AD35D" w14:textId="77777777" w:rsidR="00F828FD" w:rsidRPr="00F828FD" w:rsidRDefault="00F828FD" w:rsidP="00F828FD">
      <w:pPr>
        <w:spacing w:after="0" w:line="360" w:lineRule="auto"/>
        <w:jc w:val="both"/>
        <w:rPr>
          <w:rFonts w:ascii="Times New Roman" w:hAnsi="Times New Roman" w:cs="Times New Roman"/>
          <w:sz w:val="21"/>
          <w:szCs w:val="21"/>
        </w:rPr>
      </w:pPr>
    </w:p>
    <w:p w14:paraId="7000B5D8" w14:textId="77777777" w:rsidR="00F828FD" w:rsidRPr="00F828FD" w:rsidRDefault="00F828FD" w:rsidP="00F828FD">
      <w:pPr>
        <w:spacing w:after="0" w:line="360" w:lineRule="auto"/>
        <w:jc w:val="both"/>
        <w:rPr>
          <w:rFonts w:ascii="Times New Roman" w:hAnsi="Times New Roman" w:cs="Times New Roman"/>
          <w:sz w:val="21"/>
          <w:szCs w:val="21"/>
        </w:rPr>
      </w:pPr>
    </w:p>
    <w:p w14:paraId="3809D821" w14:textId="77777777" w:rsidR="00F828FD" w:rsidRPr="00F828FD" w:rsidRDefault="00F828FD" w:rsidP="00F828FD">
      <w:pPr>
        <w:spacing w:after="0" w:line="360" w:lineRule="auto"/>
        <w:jc w:val="both"/>
        <w:rPr>
          <w:rFonts w:ascii="Times New Roman" w:hAnsi="Times New Roman" w:cs="Times New Roman"/>
          <w:sz w:val="21"/>
          <w:szCs w:val="21"/>
        </w:rPr>
      </w:pPr>
    </w:p>
    <w:p w14:paraId="7E9F28B7" w14:textId="77777777" w:rsidR="00F828FD" w:rsidRPr="00F828FD" w:rsidRDefault="00F828FD" w:rsidP="00F828FD">
      <w:pPr>
        <w:spacing w:after="0" w:line="360" w:lineRule="auto"/>
        <w:jc w:val="both"/>
        <w:rPr>
          <w:rFonts w:ascii="Times New Roman" w:hAnsi="Times New Roman" w:cs="Times New Roman"/>
          <w:sz w:val="21"/>
          <w:szCs w:val="21"/>
        </w:rPr>
      </w:pPr>
    </w:p>
    <w:p w14:paraId="5257E4D7" w14:textId="3926944F" w:rsidR="00F828FD" w:rsidRPr="00F828FD" w:rsidRDefault="00F828FD" w:rsidP="00F828FD">
      <w:pPr>
        <w:spacing w:after="0" w:line="360" w:lineRule="auto"/>
        <w:jc w:val="center"/>
        <w:rPr>
          <w:rFonts w:ascii="Times New Roman" w:hAnsi="Times New Roman" w:cs="Times New Roman"/>
          <w:sz w:val="21"/>
          <w:szCs w:val="21"/>
        </w:rPr>
      </w:pPr>
      <w:r w:rsidRPr="00F828FD">
        <w:rPr>
          <w:rFonts w:ascii="Times New Roman" w:hAnsi="Times New Roman" w:cs="Times New Roman"/>
          <w:sz w:val="21"/>
          <w:szCs w:val="21"/>
        </w:rPr>
        <w:t>III. Research Design</w:t>
      </w:r>
    </w:p>
    <w:p w14:paraId="5312D393" w14:textId="19F81725" w:rsidR="00F828FD" w:rsidRPr="00F828FD" w:rsidRDefault="00F828FD" w:rsidP="00F828FD">
      <w:pPr>
        <w:spacing w:after="0" w:line="360" w:lineRule="auto"/>
        <w:jc w:val="both"/>
        <w:rPr>
          <w:rFonts w:ascii="Times New Roman" w:hAnsi="Times New Roman" w:cs="Times New Roman"/>
          <w:sz w:val="21"/>
          <w:szCs w:val="21"/>
        </w:rPr>
      </w:pPr>
      <w:r w:rsidRPr="00F828FD">
        <w:rPr>
          <w:rFonts w:ascii="Times New Roman" w:hAnsi="Times New Roman" w:cs="Times New Roman"/>
          <w:sz w:val="21"/>
          <w:szCs w:val="21"/>
        </w:rPr>
        <w:t>(I) Sample Selection and Data Sources</w:t>
      </w:r>
    </w:p>
    <w:p w14:paraId="31D8D722" w14:textId="77777777"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 xml:space="preserve">The research objects of this paper are Shanghai and Shenzhen A-share listed tourism companies from 2007 to 2022 as the initial research sample, excluding tourism enterprises with short listing time; excluding tourism enterprises that were ST or *ST during the sample period; excluding enterprises with missing key variables or other severely missing variables. All continuous variables </w:t>
      </w:r>
      <w:r w:rsidRPr="00F828FD">
        <w:rPr>
          <w:rFonts w:ascii="Times New Roman" w:hAnsi="Times New Roman" w:cs="Times New Roman"/>
          <w:sz w:val="21"/>
          <w:szCs w:val="21"/>
        </w:rPr>
        <w:lastRenderedPageBreak/>
        <w:t>are subjected to 5% upper and lower percentile tail trimming. Financial data in this paper come from the CSMAR database, and social responsibility scoring data under environmental performance come from Hexun.com.</w:t>
      </w:r>
    </w:p>
    <w:p w14:paraId="3E4CF94A" w14:textId="62362BF4" w:rsidR="00F828FD" w:rsidRPr="00F828FD" w:rsidRDefault="00F828FD" w:rsidP="00F828FD">
      <w:pPr>
        <w:spacing w:after="0" w:line="360" w:lineRule="auto"/>
        <w:jc w:val="both"/>
        <w:rPr>
          <w:rFonts w:ascii="Times New Roman" w:hAnsi="Times New Roman" w:cs="Times New Roman"/>
          <w:sz w:val="21"/>
          <w:szCs w:val="21"/>
        </w:rPr>
      </w:pPr>
      <w:r w:rsidRPr="00F828FD">
        <w:rPr>
          <w:rFonts w:ascii="Times New Roman" w:hAnsi="Times New Roman" w:cs="Times New Roman"/>
          <w:sz w:val="21"/>
          <w:szCs w:val="21"/>
        </w:rPr>
        <w:t>(II) Variable Definition</w:t>
      </w:r>
    </w:p>
    <w:p w14:paraId="07D303F5" w14:textId="482710D9"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 xml:space="preserve">(1) Sustainable Development Performance (EWS). Drawing on the approach of Xi </w:t>
      </w:r>
      <w:proofErr w:type="spellStart"/>
      <w:r w:rsidRPr="00F828FD">
        <w:rPr>
          <w:rFonts w:ascii="Times New Roman" w:hAnsi="Times New Roman" w:cs="Times New Roman"/>
          <w:sz w:val="21"/>
          <w:szCs w:val="21"/>
        </w:rPr>
        <w:t>Longsheng</w:t>
      </w:r>
      <w:proofErr w:type="spellEnd"/>
      <w:r w:rsidRPr="00F828FD">
        <w:rPr>
          <w:rFonts w:ascii="Times New Roman" w:hAnsi="Times New Roman" w:cs="Times New Roman"/>
          <w:sz w:val="21"/>
          <w:szCs w:val="21"/>
        </w:rPr>
        <w:t xml:space="preserve"> and Zhao Hui, this paper divides sustainable development performance of enterprises into two dimensions: financial performance and environmental performance. Return on Total Assets (ROA) is used as a proxy indicator for financial performance, and the social responsibility environment score of listed enterprises from Hexun.com is used as a proxy variable for environmental performance. Based on these two proxy indicators, the entropy weight method is used to comprehensively calculate the index to measure sustainable development performance of enterprises. Specific indicator calculations are shown in Table 1.</w:t>
      </w:r>
    </w:p>
    <w:p w14:paraId="39534478" w14:textId="1E5FEF0B"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(2) Accounting Information Quality (AIQ). The absolute value of discretionary accruals (DA) is often used as a substitute variable reflecting accounting information quality characteristics. The larger the DA, the greater the degree to which insiders intentionally adjust reported earnings, indicating worse accounting information quality. Referring to the approach of Huang Huiping and Song Xiaojing, first using all A-share companies in each year as the sample, calculate the total accruals (TA) for each company in each year, TAₜ = (Net Profit in year t - Operating Cash Flow in year t)/Aₜ₋₁, then perform regression on the following model by year:</w:t>
      </w:r>
    </w:p>
    <w:p w14:paraId="42D6099B" w14:textId="77777777"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 xml:space="preserve">Where ASSETₜ₋₁ is the total assets at the end of year t-1, </w:t>
      </w:r>
      <w:r w:rsidRPr="00F828FD">
        <w:rPr>
          <w:rFonts w:ascii="Times New Roman" w:eastAsia="等线" w:hAnsi="Times New Roman" w:cs="Times New Roman"/>
          <w:sz w:val="21"/>
          <w:szCs w:val="21"/>
        </w:rPr>
        <w:t>Δ</w:t>
      </w:r>
      <w:r w:rsidRPr="00F828FD">
        <w:rPr>
          <w:rFonts w:ascii="Times New Roman" w:hAnsi="Times New Roman" w:cs="Times New Roman"/>
          <w:sz w:val="21"/>
          <w:szCs w:val="21"/>
        </w:rPr>
        <w:t>REVₜ is the change in main business income in year t, PPEₜ is the fixed asset value at the end of year t, ROE is the return on equity in year t, and Uₜ is the error term. Through year-by-year regression, and using the residual as a measure of discretionary accrual profit, the discretionary accrual profit DA is obtained. Taking its absolute value, this paper uses the reverse indicator of earnings as the accounting information quality indicator, i.e., Accounting Information Quality AIQ = -|DA|. The larger the AIQ, the higher the accounting information quality.</w:t>
      </w:r>
    </w:p>
    <w:p w14:paraId="0961A6C3" w14:textId="5BF76267"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 xml:space="preserve">(3) Institutional Investors (INS).Institutional investors include funds, securities firms, insurance companies, social security funds, foreign institutional investors, etc. Referring to the research of Tan </w:t>
      </w:r>
      <w:proofErr w:type="spellStart"/>
      <w:r w:rsidRPr="00F828FD">
        <w:rPr>
          <w:rFonts w:ascii="Times New Roman" w:hAnsi="Times New Roman" w:cs="Times New Roman"/>
          <w:sz w:val="21"/>
          <w:szCs w:val="21"/>
        </w:rPr>
        <w:t>Hongyang</w:t>
      </w:r>
      <w:proofErr w:type="spellEnd"/>
      <w:r w:rsidRPr="00F828FD">
        <w:rPr>
          <w:rFonts w:ascii="Times New Roman" w:hAnsi="Times New Roman" w:cs="Times New Roman"/>
          <w:sz w:val="21"/>
          <w:szCs w:val="21"/>
        </w:rPr>
        <w:t xml:space="preserve"> et al., institutional investor data are the sum of shareholding ratios of all institutional investors in the CSMAR database.</w:t>
      </w:r>
    </w:p>
    <w:p w14:paraId="03249520" w14:textId="7D3043E7"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lastRenderedPageBreak/>
        <w:t>(4) Property Rights Nature (SOE). Takes 1 when the enterprise is a state-owned enterprise, otherwise 0. Some control variables are also selected, as shown in Table 2.</w:t>
      </w:r>
    </w:p>
    <w:p w14:paraId="253EBB56" w14:textId="6BDD1D58" w:rsidR="00F828FD" w:rsidRPr="00F828FD" w:rsidRDefault="00F828FD" w:rsidP="00F828FD">
      <w:pPr>
        <w:spacing w:after="0" w:line="360" w:lineRule="auto"/>
        <w:jc w:val="both"/>
        <w:rPr>
          <w:rFonts w:ascii="Times New Roman" w:hAnsi="Times New Roman" w:cs="Times New Roman"/>
          <w:sz w:val="21"/>
          <w:szCs w:val="21"/>
        </w:rPr>
      </w:pPr>
      <w:r w:rsidRPr="00F828FD">
        <w:rPr>
          <w:rFonts w:ascii="Times New Roman" w:hAnsi="Times New Roman" w:cs="Times New Roman"/>
          <w:sz w:val="21"/>
          <w:szCs w:val="21"/>
        </w:rPr>
        <w:t>(III) Model Construction</w:t>
      </w:r>
    </w:p>
    <w:p w14:paraId="72A5A303" w14:textId="77777777"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The previous analysis showed that high-quality accounting information disclosure can promote sustainable development of enterprises. This paper will use Model 1 for analysis:</w:t>
      </w:r>
    </w:p>
    <w:p w14:paraId="6D05B502" w14:textId="77777777" w:rsidR="00F828FD" w:rsidRPr="00F828FD" w:rsidRDefault="00F828FD" w:rsidP="00F828FD">
      <w:pPr>
        <w:spacing w:after="0" w:line="360" w:lineRule="auto"/>
        <w:jc w:val="both"/>
        <w:rPr>
          <w:rFonts w:ascii="Times New Roman" w:hAnsi="Times New Roman" w:cs="Times New Roman"/>
          <w:sz w:val="21"/>
          <w:szCs w:val="21"/>
        </w:rPr>
      </w:pPr>
    </w:p>
    <w:p w14:paraId="42BCBCF8" w14:textId="77777777" w:rsidR="00F828FD" w:rsidRPr="00F828FD" w:rsidRDefault="00F828FD" w:rsidP="00F828FD">
      <w:pPr>
        <w:spacing w:after="0" w:line="360" w:lineRule="auto"/>
        <w:jc w:val="both"/>
        <w:rPr>
          <w:rFonts w:ascii="Times New Roman" w:hAnsi="Times New Roman" w:cs="Times New Roman"/>
          <w:sz w:val="21"/>
          <w:szCs w:val="21"/>
        </w:rPr>
      </w:pPr>
    </w:p>
    <w:p w14:paraId="67930EF9" w14:textId="77777777" w:rsidR="00F828FD" w:rsidRPr="00F828FD" w:rsidRDefault="00F828FD" w:rsidP="00F828FD">
      <w:pPr>
        <w:spacing w:after="0" w:line="360" w:lineRule="auto"/>
        <w:jc w:val="both"/>
        <w:rPr>
          <w:rFonts w:ascii="Times New Roman" w:hAnsi="Times New Roman" w:cs="Times New Roman"/>
          <w:sz w:val="21"/>
          <w:szCs w:val="21"/>
        </w:rPr>
      </w:pPr>
    </w:p>
    <w:p w14:paraId="4536CB53" w14:textId="77777777" w:rsidR="00F828FD" w:rsidRPr="00F828FD" w:rsidRDefault="00F828FD" w:rsidP="00F828FD">
      <w:pPr>
        <w:spacing w:after="0" w:line="360" w:lineRule="auto"/>
        <w:jc w:val="both"/>
        <w:rPr>
          <w:rFonts w:ascii="Times New Roman" w:hAnsi="Times New Roman" w:cs="Times New Roman"/>
          <w:sz w:val="21"/>
          <w:szCs w:val="21"/>
        </w:rPr>
      </w:pPr>
    </w:p>
    <w:p w14:paraId="737BFCB2" w14:textId="77777777" w:rsidR="00F828FD" w:rsidRPr="00F828FD" w:rsidRDefault="00F828FD" w:rsidP="00F828FD">
      <w:pPr>
        <w:spacing w:after="0" w:line="360" w:lineRule="auto"/>
        <w:jc w:val="both"/>
        <w:rPr>
          <w:rFonts w:ascii="Times New Roman" w:hAnsi="Times New Roman" w:cs="Times New Roman"/>
          <w:sz w:val="21"/>
          <w:szCs w:val="21"/>
        </w:rPr>
      </w:pPr>
    </w:p>
    <w:p w14:paraId="13036B2A" w14:textId="77777777" w:rsidR="00F828FD" w:rsidRPr="00F828FD" w:rsidRDefault="00F828FD" w:rsidP="00F828FD">
      <w:pPr>
        <w:spacing w:after="0" w:line="360" w:lineRule="auto"/>
        <w:jc w:val="both"/>
        <w:rPr>
          <w:rFonts w:ascii="Times New Roman" w:hAnsi="Times New Roman" w:cs="Times New Roman"/>
          <w:sz w:val="21"/>
          <w:szCs w:val="21"/>
        </w:rPr>
      </w:pPr>
    </w:p>
    <w:p w14:paraId="0B20CA98" w14:textId="77777777" w:rsidR="00F828FD" w:rsidRPr="00F828FD" w:rsidRDefault="00F828FD" w:rsidP="00F828FD">
      <w:pPr>
        <w:spacing w:after="0" w:line="360" w:lineRule="auto"/>
        <w:jc w:val="both"/>
        <w:rPr>
          <w:rFonts w:ascii="Times New Roman" w:hAnsi="Times New Roman" w:cs="Times New Roman"/>
          <w:sz w:val="21"/>
          <w:szCs w:val="21"/>
        </w:rPr>
      </w:pPr>
    </w:p>
    <w:p w14:paraId="6301AA98" w14:textId="77777777" w:rsidR="00F828FD" w:rsidRPr="00F828FD" w:rsidRDefault="00F828FD" w:rsidP="00F828FD">
      <w:pPr>
        <w:spacing w:after="0" w:line="360" w:lineRule="auto"/>
        <w:jc w:val="both"/>
        <w:rPr>
          <w:rFonts w:ascii="Times New Roman" w:hAnsi="Times New Roman" w:cs="Times New Roman"/>
          <w:sz w:val="21"/>
          <w:szCs w:val="21"/>
        </w:rPr>
      </w:pPr>
    </w:p>
    <w:p w14:paraId="0EE1FAAD" w14:textId="77777777" w:rsidR="00F828FD" w:rsidRPr="00F828FD" w:rsidRDefault="00F828FD" w:rsidP="00F828FD">
      <w:pPr>
        <w:spacing w:after="0" w:line="360" w:lineRule="auto"/>
        <w:jc w:val="both"/>
        <w:rPr>
          <w:rFonts w:ascii="Times New Roman" w:hAnsi="Times New Roman" w:cs="Times New Roman"/>
          <w:sz w:val="21"/>
          <w:szCs w:val="21"/>
        </w:rPr>
      </w:pPr>
    </w:p>
    <w:p w14:paraId="3DD277FB" w14:textId="77777777" w:rsidR="00F828FD" w:rsidRPr="00F828FD" w:rsidRDefault="00F828FD" w:rsidP="00F828FD">
      <w:pPr>
        <w:spacing w:after="0" w:line="360" w:lineRule="auto"/>
        <w:jc w:val="both"/>
        <w:rPr>
          <w:rFonts w:ascii="Times New Roman" w:hAnsi="Times New Roman" w:cs="Times New Roman"/>
          <w:sz w:val="21"/>
          <w:szCs w:val="21"/>
        </w:rPr>
      </w:pPr>
    </w:p>
    <w:p w14:paraId="2FA5DC2A" w14:textId="77777777" w:rsidR="00F828FD" w:rsidRPr="00F828FD" w:rsidRDefault="00F828FD" w:rsidP="00F828FD">
      <w:pPr>
        <w:spacing w:after="0" w:line="360" w:lineRule="auto"/>
        <w:jc w:val="both"/>
        <w:rPr>
          <w:rFonts w:ascii="Times New Roman" w:hAnsi="Times New Roman" w:cs="Times New Roman"/>
          <w:sz w:val="21"/>
          <w:szCs w:val="21"/>
        </w:rPr>
      </w:pPr>
    </w:p>
    <w:p w14:paraId="44EA2EA4" w14:textId="77777777" w:rsidR="00F828FD" w:rsidRPr="00F828FD" w:rsidRDefault="00F828FD" w:rsidP="00F828FD">
      <w:pPr>
        <w:spacing w:after="0" w:line="360" w:lineRule="auto"/>
        <w:jc w:val="both"/>
        <w:rPr>
          <w:rFonts w:ascii="Times New Roman" w:hAnsi="Times New Roman" w:cs="Times New Roman"/>
          <w:sz w:val="21"/>
          <w:szCs w:val="21"/>
        </w:rPr>
      </w:pPr>
    </w:p>
    <w:p w14:paraId="5561AC71" w14:textId="77777777" w:rsidR="00F828FD" w:rsidRPr="00F828FD" w:rsidRDefault="00F828FD" w:rsidP="00F828FD">
      <w:pPr>
        <w:spacing w:after="0" w:line="360" w:lineRule="auto"/>
        <w:jc w:val="both"/>
        <w:rPr>
          <w:rFonts w:ascii="Times New Roman" w:hAnsi="Times New Roman" w:cs="Times New Roman"/>
          <w:sz w:val="21"/>
          <w:szCs w:val="21"/>
        </w:rPr>
      </w:pPr>
    </w:p>
    <w:p w14:paraId="5C455A83" w14:textId="77777777" w:rsidR="00F828FD" w:rsidRPr="00F828FD" w:rsidRDefault="00F828FD" w:rsidP="00F828FD">
      <w:pPr>
        <w:spacing w:after="0" w:line="360" w:lineRule="auto"/>
        <w:jc w:val="both"/>
        <w:rPr>
          <w:rFonts w:ascii="Times New Roman" w:hAnsi="Times New Roman" w:cs="Times New Roman"/>
          <w:sz w:val="21"/>
          <w:szCs w:val="21"/>
        </w:rPr>
      </w:pPr>
    </w:p>
    <w:p w14:paraId="183EF687" w14:textId="77777777" w:rsidR="00F828FD" w:rsidRPr="00F828FD" w:rsidRDefault="00F828FD" w:rsidP="00F828FD">
      <w:pPr>
        <w:spacing w:after="0" w:line="360" w:lineRule="auto"/>
        <w:jc w:val="both"/>
        <w:rPr>
          <w:rFonts w:ascii="Times New Roman" w:hAnsi="Times New Roman" w:cs="Times New Roman"/>
          <w:sz w:val="21"/>
          <w:szCs w:val="21"/>
        </w:rPr>
      </w:pPr>
    </w:p>
    <w:p w14:paraId="68A659EB" w14:textId="77777777" w:rsidR="00F828FD" w:rsidRPr="00F828FD" w:rsidRDefault="00F828FD" w:rsidP="00F828FD">
      <w:pPr>
        <w:spacing w:after="0" w:line="360" w:lineRule="auto"/>
        <w:jc w:val="both"/>
        <w:rPr>
          <w:rFonts w:ascii="Times New Roman" w:hAnsi="Times New Roman" w:cs="Times New Roman"/>
          <w:sz w:val="21"/>
          <w:szCs w:val="21"/>
        </w:rPr>
      </w:pPr>
    </w:p>
    <w:p w14:paraId="00EEA572" w14:textId="77777777" w:rsidR="00F828FD" w:rsidRPr="00F828FD" w:rsidRDefault="00F828FD" w:rsidP="00F828FD">
      <w:pPr>
        <w:spacing w:after="0" w:line="360" w:lineRule="auto"/>
        <w:jc w:val="both"/>
        <w:rPr>
          <w:rFonts w:ascii="Times New Roman" w:hAnsi="Times New Roman" w:cs="Times New Roman"/>
          <w:sz w:val="21"/>
          <w:szCs w:val="21"/>
        </w:rPr>
      </w:pPr>
    </w:p>
    <w:p w14:paraId="67D2A6A3" w14:textId="77777777" w:rsidR="00F828FD" w:rsidRPr="00F828FD" w:rsidRDefault="00F828FD" w:rsidP="00F828FD">
      <w:pPr>
        <w:spacing w:after="0" w:line="360" w:lineRule="auto"/>
        <w:jc w:val="both"/>
        <w:rPr>
          <w:rFonts w:ascii="Times New Roman" w:hAnsi="Times New Roman" w:cs="Times New Roman"/>
          <w:sz w:val="21"/>
          <w:szCs w:val="21"/>
        </w:rPr>
      </w:pPr>
    </w:p>
    <w:p w14:paraId="49911491" w14:textId="649A1A4C" w:rsidR="00F828FD" w:rsidRPr="00F828FD" w:rsidRDefault="00F828FD" w:rsidP="00F828FD">
      <w:pPr>
        <w:spacing w:after="0" w:line="360" w:lineRule="auto"/>
        <w:jc w:val="center"/>
        <w:rPr>
          <w:rFonts w:ascii="Times New Roman" w:hAnsi="Times New Roman" w:cs="Times New Roman"/>
          <w:sz w:val="21"/>
          <w:szCs w:val="21"/>
        </w:rPr>
      </w:pPr>
      <w:r w:rsidRPr="00F828FD">
        <w:rPr>
          <w:rFonts w:ascii="Times New Roman" w:hAnsi="Times New Roman" w:cs="Times New Roman"/>
          <w:sz w:val="21"/>
          <w:szCs w:val="21"/>
        </w:rPr>
        <w:t>IV. Empirical Analysis</w:t>
      </w:r>
    </w:p>
    <w:p w14:paraId="51158C16" w14:textId="1BEB4B78" w:rsidR="00F828FD" w:rsidRPr="00F828FD" w:rsidRDefault="00F828FD" w:rsidP="00F828FD">
      <w:pPr>
        <w:spacing w:after="0" w:line="360" w:lineRule="auto"/>
        <w:jc w:val="both"/>
        <w:rPr>
          <w:rFonts w:ascii="Times New Roman" w:hAnsi="Times New Roman" w:cs="Times New Roman"/>
          <w:sz w:val="21"/>
          <w:szCs w:val="21"/>
        </w:rPr>
      </w:pPr>
      <w:r w:rsidRPr="00F828FD">
        <w:rPr>
          <w:rFonts w:ascii="Times New Roman" w:hAnsi="Times New Roman" w:cs="Times New Roman"/>
          <w:sz w:val="21"/>
          <w:szCs w:val="21"/>
        </w:rPr>
        <w:t>(I) Basic Regression Analysis</w:t>
      </w:r>
    </w:p>
    <w:p w14:paraId="42AC0AE6" w14:textId="77777777"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 xml:space="preserve">Tourism enterprise development has seasonal characteristics and strong volatility. In different seasons and periods, tourist flow and income levels will vary significantly. High-quality accounting information disclosure can accurately reflect the financial status and operating results of enterprises at various stages, allowing investors, creditors, and other stakeholders to clearly understand the true strength of enterprises. This helps tourism enterprises attract more investment, providing financial </w:t>
      </w:r>
      <w:r w:rsidRPr="00F828FD">
        <w:rPr>
          <w:rFonts w:ascii="Times New Roman" w:hAnsi="Times New Roman" w:cs="Times New Roman"/>
          <w:sz w:val="21"/>
          <w:szCs w:val="21"/>
        </w:rPr>
        <w:lastRenderedPageBreak/>
        <w:t xml:space="preserve">support for expanding scale and improving service quality. Meanwhile, clear financial information can also make suppliers and partners more confident in the enterprise, promoting in-depth cooperation and helping enterprises win more advantages in market competition, thereby promoting sustainable development of enterprises. Tourism enterprise development also relies on good brand image and market reputation. Higher quality accounting information disclosure can enhance enterprise transparency and credibility. When enterprises truthfully and </w:t>
      </w:r>
      <w:proofErr w:type="spellStart"/>
      <w:r w:rsidRPr="00F828FD">
        <w:rPr>
          <w:rFonts w:ascii="Times New Roman" w:hAnsi="Times New Roman" w:cs="Times New Roman"/>
          <w:sz w:val="21"/>
          <w:szCs w:val="21"/>
        </w:rPr>
        <w:t>detailedly</w:t>
      </w:r>
      <w:proofErr w:type="spellEnd"/>
      <w:r w:rsidRPr="00F828FD">
        <w:rPr>
          <w:rFonts w:ascii="Times New Roman" w:hAnsi="Times New Roman" w:cs="Times New Roman"/>
          <w:sz w:val="21"/>
          <w:szCs w:val="21"/>
        </w:rPr>
        <w:t xml:space="preserve"> disclose financial information, consumers will feel the integrity and standardization of the enterprise, thereby being more willing to choose the enterprise's tourism products and services. Moreover, high-quality accounting information disclosure is also beneficial for regulatory departments to effectively supervise tourism enterprises, prompting legal and compliant operations, avoiding financial risks and operating crises. In this way, tourism enterprises can continuously innovate and develop in a stable operating environment, achieving long-term sustainable development goals. Table 3 shows the regression results using Model 1. In the results of Table 3, the explained variable is sustainable development performance (EWS). The regression model controls for factors such as enterprise scale, asset-liability ratio, and profitability. The research finds that the coefficient of accounting information quality (AIQ) is 0.039, and is significant at the 1% level, indicating that higher quality accounting information disclosure can promote high-quality development of enterprises.</w:t>
      </w:r>
    </w:p>
    <w:p w14:paraId="7343B234" w14:textId="2527A769" w:rsidR="00F828FD" w:rsidRPr="00F828FD" w:rsidRDefault="00F828FD" w:rsidP="00F828FD">
      <w:pPr>
        <w:spacing w:after="0" w:line="360" w:lineRule="auto"/>
        <w:jc w:val="both"/>
        <w:rPr>
          <w:rFonts w:ascii="Times New Roman" w:hAnsi="Times New Roman" w:cs="Times New Roman"/>
          <w:sz w:val="21"/>
          <w:szCs w:val="21"/>
        </w:rPr>
      </w:pPr>
      <w:r w:rsidRPr="00F828FD">
        <w:rPr>
          <w:rFonts w:ascii="Times New Roman" w:hAnsi="Times New Roman" w:cs="Times New Roman"/>
          <w:sz w:val="21"/>
          <w:szCs w:val="21"/>
        </w:rPr>
        <w:t>(II) Further Analysis</w:t>
      </w:r>
    </w:p>
    <w:p w14:paraId="4F84D492" w14:textId="6093E29F"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 xml:space="preserve">(1) Analysis Based on the Governance Role of Institutional Investors. When selecting investment targets, institutional investors pay great attention to financial transparency and information reliability of enterprises. If tourism enterprises can provide high-quality accounting information disclosure, it is like handing an attractive business card to institutional investors. Detailed, accurate, and timely financial data allows institutional investors to clearly understand the operating conditions, profitability, and development potential of enterprises. They can make more scientific and reasonable investment decisions based on this, confidently investing funds into tourism enterprises, bringing adequate financial support to enterprises, helping expand business, upgrade facilities, and improve service quality, laying a solid foundation for sustainable development. When tourism enterprises disclose higher accounting information, without concealing or whitewashing financial conditions, institutional investors will believe that the enterprise has good governance structure and standardized operation management. This trust will prompt institutional </w:t>
      </w:r>
      <w:r w:rsidRPr="00F828FD">
        <w:rPr>
          <w:rFonts w:ascii="Times New Roman" w:hAnsi="Times New Roman" w:cs="Times New Roman"/>
          <w:sz w:val="21"/>
          <w:szCs w:val="21"/>
        </w:rPr>
        <w:lastRenderedPageBreak/>
        <w:t>investors to establish long-term stable cooperative relationships with tourism enterprises, not only providing continuous support in terms of funds, but also possibly providing valuable suggestions and resources in strategic planning and market expansion, thereby promoting sustainable development of enterprises. Table 4 shows the regression results using Model 2 and Model 3. The research finds that high-quality accounting information disclosure attracts more institutional investor shareholding, thereby positively affecting sustainable development of enterprises.</w:t>
      </w:r>
    </w:p>
    <w:p w14:paraId="2C941F60" w14:textId="09A6BEDC"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 xml:space="preserve">(2) Cross-sectional Analysis Based on State-owned and Non-state-owned </w:t>
      </w:r>
      <w:proofErr w:type="spellStart"/>
      <w:r w:rsidRPr="00F828FD">
        <w:rPr>
          <w:rFonts w:ascii="Times New Roman" w:hAnsi="Times New Roman" w:cs="Times New Roman"/>
          <w:sz w:val="21"/>
          <w:szCs w:val="21"/>
        </w:rPr>
        <w:t>Enterprises.Non</w:t>
      </w:r>
      <w:proofErr w:type="spellEnd"/>
      <w:r w:rsidRPr="00F828FD">
        <w:rPr>
          <w:rFonts w:ascii="Times New Roman" w:hAnsi="Times New Roman" w:cs="Times New Roman"/>
          <w:sz w:val="21"/>
          <w:szCs w:val="21"/>
        </w:rPr>
        <w:t>-state-owned enterprises often face more challenges in resource acquisition and market competition, while high-quality accounting information can clearly show the true financial status and operating results of enterprises, enhancing enterprise transparency and credibility. On one hand, it helps attract the attention and capital investment of external investors, providing strong financial support for enterprise expansion and upgrading; on the other hand, it can make partners more trust the enterprise, promoting in-depth cooperation and expanding market channels. Meanwhile, high-quality accounting information is also beneficial for enterprises themselves to make scientific decisions, timely discover and solve problems in operations, continuously improve management levels and service quality, thereby standing out in fierce market competition and achieving sustainable development. Table 5 shows the cross-sectional analysis results of property rights nature. Where column (1) is the regression result of the state-owned enterprise group, and column (2) is the regression result of the non-state-owned enterprise group. It can be seen that in the state-owned enterprise group, the coefficient of accounting information quality (AIQ) is not significant, while in the non-state-owned enterprise group, the coefficient of accounting information quality (AIQ) is 0.059, and is significant at the 1% level, indicating that compared with state-owned enterprises, high-quality accounting information disclosure has a more significant promoting effect on sustainable development of non-state-owned enterprises.</w:t>
      </w:r>
    </w:p>
    <w:p w14:paraId="7908DE17" w14:textId="77777777" w:rsidR="00F828FD" w:rsidRPr="00F828FD" w:rsidRDefault="00F828FD" w:rsidP="00F828FD">
      <w:pPr>
        <w:spacing w:after="0" w:line="360" w:lineRule="auto"/>
        <w:jc w:val="both"/>
        <w:rPr>
          <w:rFonts w:ascii="Times New Roman" w:hAnsi="Times New Roman" w:cs="Times New Roman"/>
          <w:sz w:val="21"/>
          <w:szCs w:val="21"/>
        </w:rPr>
      </w:pPr>
    </w:p>
    <w:p w14:paraId="14E16EC6" w14:textId="77777777" w:rsidR="00F828FD" w:rsidRPr="00F828FD" w:rsidRDefault="00F828FD" w:rsidP="00F828FD">
      <w:pPr>
        <w:spacing w:after="0" w:line="360" w:lineRule="auto"/>
        <w:jc w:val="both"/>
        <w:rPr>
          <w:rFonts w:ascii="Times New Roman" w:hAnsi="Times New Roman" w:cs="Times New Roman"/>
          <w:sz w:val="21"/>
          <w:szCs w:val="21"/>
        </w:rPr>
      </w:pPr>
    </w:p>
    <w:p w14:paraId="2A0F5A19" w14:textId="77777777" w:rsidR="00F828FD" w:rsidRPr="00F828FD" w:rsidRDefault="00F828FD" w:rsidP="00F828FD">
      <w:pPr>
        <w:spacing w:after="0" w:line="360" w:lineRule="auto"/>
        <w:jc w:val="both"/>
        <w:rPr>
          <w:rFonts w:ascii="Times New Roman" w:hAnsi="Times New Roman" w:cs="Times New Roman"/>
          <w:sz w:val="21"/>
          <w:szCs w:val="21"/>
        </w:rPr>
      </w:pPr>
    </w:p>
    <w:p w14:paraId="68A5ED23" w14:textId="77777777" w:rsidR="00F828FD" w:rsidRPr="00F828FD" w:rsidRDefault="00F828FD" w:rsidP="00F828FD">
      <w:pPr>
        <w:spacing w:after="0" w:line="360" w:lineRule="auto"/>
        <w:jc w:val="both"/>
        <w:rPr>
          <w:rFonts w:ascii="Times New Roman" w:hAnsi="Times New Roman" w:cs="Times New Roman"/>
          <w:sz w:val="21"/>
          <w:szCs w:val="21"/>
        </w:rPr>
      </w:pPr>
    </w:p>
    <w:p w14:paraId="201168E7" w14:textId="77777777" w:rsidR="00F828FD" w:rsidRPr="00F828FD" w:rsidRDefault="00F828FD" w:rsidP="00F828FD">
      <w:pPr>
        <w:spacing w:after="0" w:line="360" w:lineRule="auto"/>
        <w:jc w:val="both"/>
        <w:rPr>
          <w:rFonts w:ascii="Times New Roman" w:hAnsi="Times New Roman" w:cs="Times New Roman"/>
          <w:sz w:val="21"/>
          <w:szCs w:val="21"/>
        </w:rPr>
      </w:pPr>
    </w:p>
    <w:p w14:paraId="243D4167" w14:textId="77777777" w:rsidR="00F828FD" w:rsidRPr="00F828FD" w:rsidRDefault="00F828FD" w:rsidP="00F828FD">
      <w:pPr>
        <w:spacing w:after="0" w:line="360" w:lineRule="auto"/>
        <w:jc w:val="both"/>
        <w:rPr>
          <w:rFonts w:ascii="Times New Roman" w:hAnsi="Times New Roman" w:cs="Times New Roman"/>
          <w:sz w:val="21"/>
          <w:szCs w:val="21"/>
        </w:rPr>
      </w:pPr>
    </w:p>
    <w:p w14:paraId="521A713A" w14:textId="77777777" w:rsidR="00F828FD" w:rsidRPr="00F828FD" w:rsidRDefault="00F828FD" w:rsidP="00F828FD">
      <w:pPr>
        <w:spacing w:after="0" w:line="360" w:lineRule="auto"/>
        <w:jc w:val="both"/>
        <w:rPr>
          <w:rFonts w:ascii="Times New Roman" w:hAnsi="Times New Roman" w:cs="Times New Roman"/>
          <w:sz w:val="21"/>
          <w:szCs w:val="21"/>
        </w:rPr>
      </w:pPr>
    </w:p>
    <w:p w14:paraId="71386599" w14:textId="77777777" w:rsidR="00F828FD" w:rsidRPr="00F828FD" w:rsidRDefault="00F828FD" w:rsidP="00F828FD">
      <w:pPr>
        <w:spacing w:after="0" w:line="360" w:lineRule="auto"/>
        <w:jc w:val="both"/>
        <w:rPr>
          <w:rFonts w:ascii="Times New Roman" w:hAnsi="Times New Roman" w:cs="Times New Roman"/>
          <w:sz w:val="21"/>
          <w:szCs w:val="21"/>
        </w:rPr>
      </w:pPr>
    </w:p>
    <w:p w14:paraId="2B0E2715" w14:textId="77777777" w:rsidR="00F828FD" w:rsidRPr="00F828FD" w:rsidRDefault="00F828FD" w:rsidP="00F828FD">
      <w:pPr>
        <w:spacing w:after="0" w:line="360" w:lineRule="auto"/>
        <w:jc w:val="both"/>
        <w:rPr>
          <w:rFonts w:ascii="Times New Roman" w:hAnsi="Times New Roman" w:cs="Times New Roman"/>
          <w:sz w:val="21"/>
          <w:szCs w:val="21"/>
        </w:rPr>
      </w:pPr>
    </w:p>
    <w:p w14:paraId="265A55AD" w14:textId="77777777" w:rsidR="00F828FD" w:rsidRPr="00F828FD" w:rsidRDefault="00F828FD" w:rsidP="00F828FD">
      <w:pPr>
        <w:spacing w:after="0" w:line="360" w:lineRule="auto"/>
        <w:jc w:val="both"/>
        <w:rPr>
          <w:rFonts w:ascii="Times New Roman" w:hAnsi="Times New Roman" w:cs="Times New Roman"/>
          <w:sz w:val="21"/>
          <w:szCs w:val="21"/>
        </w:rPr>
      </w:pPr>
    </w:p>
    <w:p w14:paraId="71B0C3B8" w14:textId="77777777" w:rsidR="00F828FD" w:rsidRPr="00F828FD" w:rsidRDefault="00F828FD" w:rsidP="00F828FD">
      <w:pPr>
        <w:spacing w:after="0" w:line="360" w:lineRule="auto"/>
        <w:jc w:val="both"/>
        <w:rPr>
          <w:rFonts w:ascii="Times New Roman" w:hAnsi="Times New Roman" w:cs="Times New Roman"/>
          <w:sz w:val="21"/>
          <w:szCs w:val="21"/>
        </w:rPr>
      </w:pPr>
    </w:p>
    <w:p w14:paraId="3EC8A6D5" w14:textId="77777777" w:rsidR="00F828FD" w:rsidRPr="00F828FD" w:rsidRDefault="00F828FD" w:rsidP="00F828FD">
      <w:pPr>
        <w:spacing w:after="0" w:line="360" w:lineRule="auto"/>
        <w:jc w:val="both"/>
        <w:rPr>
          <w:rFonts w:ascii="Times New Roman" w:hAnsi="Times New Roman" w:cs="Times New Roman"/>
          <w:sz w:val="21"/>
          <w:szCs w:val="21"/>
        </w:rPr>
      </w:pPr>
    </w:p>
    <w:p w14:paraId="6647CD2E" w14:textId="77777777" w:rsidR="00F828FD" w:rsidRPr="00F828FD" w:rsidRDefault="00F828FD" w:rsidP="00F828FD">
      <w:pPr>
        <w:spacing w:after="0" w:line="360" w:lineRule="auto"/>
        <w:jc w:val="both"/>
        <w:rPr>
          <w:rFonts w:ascii="Times New Roman" w:hAnsi="Times New Roman" w:cs="Times New Roman"/>
          <w:sz w:val="21"/>
          <w:szCs w:val="21"/>
        </w:rPr>
      </w:pPr>
    </w:p>
    <w:p w14:paraId="259F325A" w14:textId="77777777" w:rsidR="00F828FD" w:rsidRPr="00F828FD" w:rsidRDefault="00F828FD" w:rsidP="00F828FD">
      <w:pPr>
        <w:spacing w:after="0" w:line="360" w:lineRule="auto"/>
        <w:jc w:val="both"/>
        <w:rPr>
          <w:rFonts w:ascii="Times New Roman" w:hAnsi="Times New Roman" w:cs="Times New Roman"/>
          <w:sz w:val="21"/>
          <w:szCs w:val="21"/>
        </w:rPr>
      </w:pPr>
    </w:p>
    <w:p w14:paraId="3740146A" w14:textId="77777777" w:rsidR="00F828FD" w:rsidRPr="00F828FD" w:rsidRDefault="00F828FD" w:rsidP="00F828FD">
      <w:pPr>
        <w:spacing w:after="0" w:line="360" w:lineRule="auto"/>
        <w:jc w:val="both"/>
        <w:rPr>
          <w:rFonts w:ascii="Times New Roman" w:hAnsi="Times New Roman" w:cs="Times New Roman"/>
          <w:sz w:val="21"/>
          <w:szCs w:val="21"/>
        </w:rPr>
      </w:pPr>
    </w:p>
    <w:p w14:paraId="545DE9D0" w14:textId="77777777" w:rsidR="00F828FD" w:rsidRPr="00F828FD" w:rsidRDefault="00F828FD" w:rsidP="00F828FD">
      <w:pPr>
        <w:spacing w:after="0" w:line="360" w:lineRule="auto"/>
        <w:jc w:val="both"/>
        <w:rPr>
          <w:rFonts w:ascii="Times New Roman" w:hAnsi="Times New Roman" w:cs="Times New Roman"/>
          <w:sz w:val="21"/>
          <w:szCs w:val="21"/>
        </w:rPr>
      </w:pPr>
    </w:p>
    <w:p w14:paraId="6F6D627F" w14:textId="77777777" w:rsidR="00F828FD" w:rsidRPr="00F828FD" w:rsidRDefault="00F828FD" w:rsidP="00F828FD">
      <w:pPr>
        <w:spacing w:after="0" w:line="360" w:lineRule="auto"/>
        <w:jc w:val="both"/>
        <w:rPr>
          <w:rFonts w:ascii="Times New Roman" w:hAnsi="Times New Roman" w:cs="Times New Roman"/>
          <w:sz w:val="21"/>
          <w:szCs w:val="21"/>
        </w:rPr>
      </w:pPr>
    </w:p>
    <w:p w14:paraId="12AFFAC9" w14:textId="77777777" w:rsidR="00F828FD" w:rsidRPr="00F828FD" w:rsidRDefault="00F828FD" w:rsidP="00F828FD">
      <w:pPr>
        <w:spacing w:after="0" w:line="360" w:lineRule="auto"/>
        <w:jc w:val="both"/>
        <w:rPr>
          <w:rFonts w:ascii="Times New Roman" w:hAnsi="Times New Roman" w:cs="Times New Roman"/>
          <w:sz w:val="21"/>
          <w:szCs w:val="21"/>
        </w:rPr>
      </w:pPr>
    </w:p>
    <w:p w14:paraId="7682A0AC" w14:textId="77777777" w:rsidR="00F828FD" w:rsidRPr="00F828FD" w:rsidRDefault="00F828FD" w:rsidP="00F828FD">
      <w:pPr>
        <w:spacing w:after="0" w:line="360" w:lineRule="auto"/>
        <w:jc w:val="both"/>
        <w:rPr>
          <w:rFonts w:ascii="Times New Roman" w:hAnsi="Times New Roman" w:cs="Times New Roman"/>
          <w:sz w:val="21"/>
          <w:szCs w:val="21"/>
        </w:rPr>
      </w:pPr>
    </w:p>
    <w:p w14:paraId="136E0100" w14:textId="77777777" w:rsidR="00F828FD" w:rsidRPr="00F828FD" w:rsidRDefault="00F828FD" w:rsidP="00F828FD">
      <w:pPr>
        <w:spacing w:after="0" w:line="360" w:lineRule="auto"/>
        <w:jc w:val="both"/>
        <w:rPr>
          <w:rFonts w:ascii="Times New Roman" w:hAnsi="Times New Roman" w:cs="Times New Roman"/>
          <w:sz w:val="21"/>
          <w:szCs w:val="21"/>
        </w:rPr>
      </w:pPr>
    </w:p>
    <w:p w14:paraId="082D8CB6" w14:textId="77777777" w:rsidR="00F828FD" w:rsidRPr="00F828FD" w:rsidRDefault="00F828FD" w:rsidP="00F828FD">
      <w:pPr>
        <w:spacing w:after="0" w:line="360" w:lineRule="auto"/>
        <w:jc w:val="both"/>
        <w:rPr>
          <w:rFonts w:ascii="Times New Roman" w:hAnsi="Times New Roman" w:cs="Times New Roman"/>
          <w:sz w:val="21"/>
          <w:szCs w:val="21"/>
        </w:rPr>
      </w:pPr>
    </w:p>
    <w:p w14:paraId="69282998" w14:textId="77777777" w:rsidR="00F828FD" w:rsidRPr="00F828FD" w:rsidRDefault="00F828FD" w:rsidP="00F828FD">
      <w:pPr>
        <w:spacing w:after="0" w:line="360" w:lineRule="auto"/>
        <w:jc w:val="both"/>
        <w:rPr>
          <w:rFonts w:ascii="Times New Roman" w:hAnsi="Times New Roman" w:cs="Times New Roman"/>
          <w:sz w:val="21"/>
          <w:szCs w:val="21"/>
        </w:rPr>
      </w:pPr>
    </w:p>
    <w:p w14:paraId="114EA11F" w14:textId="77777777" w:rsidR="00F828FD" w:rsidRPr="00F828FD" w:rsidRDefault="00F828FD" w:rsidP="00F828FD">
      <w:pPr>
        <w:spacing w:after="0" w:line="360" w:lineRule="auto"/>
        <w:jc w:val="both"/>
        <w:rPr>
          <w:rFonts w:ascii="Times New Roman" w:hAnsi="Times New Roman" w:cs="Times New Roman"/>
          <w:sz w:val="21"/>
          <w:szCs w:val="21"/>
        </w:rPr>
      </w:pPr>
    </w:p>
    <w:p w14:paraId="468140EF" w14:textId="77777777" w:rsidR="00F828FD" w:rsidRPr="00F828FD" w:rsidRDefault="00F828FD" w:rsidP="00F828FD">
      <w:pPr>
        <w:spacing w:after="0" w:line="360" w:lineRule="auto"/>
        <w:jc w:val="both"/>
        <w:rPr>
          <w:rFonts w:ascii="Times New Roman" w:hAnsi="Times New Roman" w:cs="Times New Roman"/>
          <w:sz w:val="21"/>
          <w:szCs w:val="21"/>
        </w:rPr>
      </w:pPr>
    </w:p>
    <w:p w14:paraId="3EB9B730" w14:textId="77777777" w:rsidR="00F828FD" w:rsidRPr="00F828FD" w:rsidRDefault="00F828FD" w:rsidP="00F828FD">
      <w:pPr>
        <w:spacing w:after="0" w:line="360" w:lineRule="auto"/>
        <w:jc w:val="both"/>
        <w:rPr>
          <w:rFonts w:ascii="Times New Roman" w:hAnsi="Times New Roman" w:cs="Times New Roman"/>
          <w:sz w:val="21"/>
          <w:szCs w:val="21"/>
        </w:rPr>
      </w:pPr>
    </w:p>
    <w:p w14:paraId="59DA6922" w14:textId="26B2FCF5" w:rsidR="00F828FD" w:rsidRPr="00F828FD" w:rsidRDefault="00F828FD" w:rsidP="00F828FD">
      <w:pPr>
        <w:spacing w:after="0" w:line="360" w:lineRule="auto"/>
        <w:jc w:val="center"/>
        <w:rPr>
          <w:rFonts w:ascii="Times New Roman" w:hAnsi="Times New Roman" w:cs="Times New Roman"/>
          <w:sz w:val="21"/>
          <w:szCs w:val="21"/>
        </w:rPr>
      </w:pPr>
      <w:r w:rsidRPr="00F828FD">
        <w:rPr>
          <w:rFonts w:ascii="Times New Roman" w:hAnsi="Times New Roman" w:cs="Times New Roman"/>
          <w:sz w:val="21"/>
          <w:szCs w:val="21"/>
        </w:rPr>
        <w:t>V. Research Conclusions</w:t>
      </w:r>
    </w:p>
    <w:p w14:paraId="2B002AE6" w14:textId="77777777" w:rsidR="00F828FD" w:rsidRPr="00F828FD" w:rsidRDefault="00F828FD" w:rsidP="00F828FD">
      <w:pPr>
        <w:spacing w:after="0" w:line="360" w:lineRule="auto"/>
        <w:ind w:firstLine="420"/>
        <w:jc w:val="both"/>
        <w:rPr>
          <w:rFonts w:ascii="Times New Roman" w:hAnsi="Times New Roman" w:cs="Times New Roman"/>
          <w:sz w:val="21"/>
          <w:szCs w:val="21"/>
        </w:rPr>
      </w:pPr>
      <w:r w:rsidRPr="00F828FD">
        <w:rPr>
          <w:rFonts w:ascii="Times New Roman" w:hAnsi="Times New Roman" w:cs="Times New Roman"/>
          <w:sz w:val="21"/>
          <w:szCs w:val="21"/>
        </w:rPr>
        <w:t xml:space="preserve">This paper selects Shanghai and Shenzhen A-share listed tourism companies in China from 2007 to 2022 as research samples, empirically testing the relationship between accounting information disclosure quality and sustainable development of enterprises, and analyzing the role played by institutional investors. The research finds the following conclusions: (1) High-quality accounting information disclosure can significantly promote sustainable development of enterprises, and this conclusion remains valid after relevant robustness tests; (2) Institutional investors play an important governance role in enterprise development, and the research finds that higher quality accounting information disclosure can attract more institutional investors, thereby helping sustainable development of enterprises; (3) Based on testing of property rights nature differences, the research finds that compared with state-owned enterprises, the promoting effect of accounting </w:t>
      </w:r>
      <w:r w:rsidRPr="00F828FD">
        <w:rPr>
          <w:rFonts w:ascii="Times New Roman" w:hAnsi="Times New Roman" w:cs="Times New Roman"/>
          <w:sz w:val="21"/>
          <w:szCs w:val="21"/>
        </w:rPr>
        <w:lastRenderedPageBreak/>
        <w:t>information disclosure quality on sustainable development of enterprises is more significant in non-state-owned enterprises.</w:t>
      </w:r>
    </w:p>
    <w:p w14:paraId="3C6A1220" w14:textId="77777777" w:rsidR="00F828FD" w:rsidRPr="00F828FD" w:rsidRDefault="00F828FD" w:rsidP="00F828FD">
      <w:pPr>
        <w:spacing w:after="0" w:line="360" w:lineRule="auto"/>
        <w:jc w:val="both"/>
        <w:rPr>
          <w:rFonts w:ascii="Times New Roman" w:hAnsi="Times New Roman" w:cs="Times New Roman"/>
          <w:sz w:val="21"/>
          <w:szCs w:val="21"/>
        </w:rPr>
      </w:pPr>
    </w:p>
    <w:p w14:paraId="3B753B74" w14:textId="77777777" w:rsidR="00F828FD" w:rsidRPr="00F828FD" w:rsidRDefault="00F828FD" w:rsidP="00F828FD">
      <w:pPr>
        <w:spacing w:after="0" w:line="360" w:lineRule="auto"/>
        <w:jc w:val="both"/>
        <w:rPr>
          <w:rFonts w:ascii="Times New Roman" w:hAnsi="Times New Roman" w:cs="Times New Roman"/>
          <w:sz w:val="21"/>
          <w:szCs w:val="21"/>
        </w:rPr>
      </w:pPr>
    </w:p>
    <w:p w14:paraId="34225E7E" w14:textId="77777777" w:rsidR="00F828FD" w:rsidRPr="00F828FD" w:rsidRDefault="00F828FD" w:rsidP="00F828FD">
      <w:pPr>
        <w:spacing w:after="0" w:line="360" w:lineRule="auto"/>
        <w:jc w:val="both"/>
        <w:rPr>
          <w:rFonts w:ascii="Times New Roman" w:hAnsi="Times New Roman" w:cs="Times New Roman"/>
          <w:sz w:val="21"/>
          <w:szCs w:val="21"/>
        </w:rPr>
      </w:pPr>
    </w:p>
    <w:p w14:paraId="1A48274C" w14:textId="77777777" w:rsidR="00F828FD" w:rsidRPr="00F828FD" w:rsidRDefault="00F828FD" w:rsidP="00F828FD">
      <w:pPr>
        <w:spacing w:after="0" w:line="360" w:lineRule="auto"/>
        <w:jc w:val="both"/>
        <w:rPr>
          <w:rFonts w:ascii="Times New Roman" w:hAnsi="Times New Roman" w:cs="Times New Roman"/>
          <w:sz w:val="21"/>
          <w:szCs w:val="21"/>
        </w:rPr>
      </w:pPr>
    </w:p>
    <w:p w14:paraId="0A1BB018" w14:textId="77777777" w:rsidR="00F828FD" w:rsidRPr="00F828FD" w:rsidRDefault="00F828FD" w:rsidP="00F828FD">
      <w:pPr>
        <w:spacing w:after="0" w:line="360" w:lineRule="auto"/>
        <w:jc w:val="both"/>
        <w:rPr>
          <w:rFonts w:ascii="Times New Roman" w:hAnsi="Times New Roman" w:cs="Times New Roman"/>
          <w:sz w:val="21"/>
          <w:szCs w:val="21"/>
        </w:rPr>
      </w:pPr>
    </w:p>
    <w:p w14:paraId="0CA19414" w14:textId="77777777" w:rsidR="00F828FD" w:rsidRPr="00F828FD" w:rsidRDefault="00F828FD" w:rsidP="00F828FD">
      <w:pPr>
        <w:spacing w:after="0" w:line="360" w:lineRule="auto"/>
        <w:jc w:val="both"/>
        <w:rPr>
          <w:rFonts w:ascii="Times New Roman" w:hAnsi="Times New Roman" w:cs="Times New Roman"/>
          <w:sz w:val="21"/>
          <w:szCs w:val="21"/>
        </w:rPr>
      </w:pPr>
    </w:p>
    <w:p w14:paraId="688944BE" w14:textId="77777777" w:rsidR="00F828FD" w:rsidRPr="00F828FD" w:rsidRDefault="00F828FD" w:rsidP="00F828FD">
      <w:pPr>
        <w:spacing w:after="0" w:line="360" w:lineRule="auto"/>
        <w:jc w:val="both"/>
        <w:rPr>
          <w:rFonts w:ascii="Times New Roman" w:hAnsi="Times New Roman" w:cs="Times New Roman"/>
          <w:sz w:val="21"/>
          <w:szCs w:val="21"/>
        </w:rPr>
      </w:pPr>
    </w:p>
    <w:p w14:paraId="430F15AE" w14:textId="77777777" w:rsidR="00F828FD" w:rsidRPr="00F828FD" w:rsidRDefault="00F828FD" w:rsidP="00F828FD">
      <w:pPr>
        <w:spacing w:after="0" w:line="360" w:lineRule="auto"/>
        <w:jc w:val="both"/>
        <w:rPr>
          <w:rFonts w:ascii="Times New Roman" w:hAnsi="Times New Roman" w:cs="Times New Roman"/>
          <w:sz w:val="21"/>
          <w:szCs w:val="21"/>
        </w:rPr>
      </w:pPr>
    </w:p>
    <w:p w14:paraId="3465D2A3" w14:textId="77777777" w:rsidR="00F828FD" w:rsidRPr="00F828FD" w:rsidRDefault="00F828FD" w:rsidP="00F828FD">
      <w:pPr>
        <w:spacing w:after="0" w:line="360" w:lineRule="auto"/>
        <w:jc w:val="both"/>
        <w:rPr>
          <w:rFonts w:ascii="Times New Roman" w:hAnsi="Times New Roman" w:cs="Times New Roman"/>
          <w:sz w:val="21"/>
          <w:szCs w:val="21"/>
        </w:rPr>
      </w:pPr>
    </w:p>
    <w:p w14:paraId="7B7EF604" w14:textId="77777777" w:rsidR="00F828FD" w:rsidRPr="00F828FD" w:rsidRDefault="00F828FD" w:rsidP="00F828FD">
      <w:pPr>
        <w:spacing w:after="0" w:line="360" w:lineRule="auto"/>
        <w:jc w:val="both"/>
        <w:rPr>
          <w:rFonts w:ascii="Times New Roman" w:hAnsi="Times New Roman" w:cs="Times New Roman"/>
          <w:sz w:val="21"/>
          <w:szCs w:val="21"/>
        </w:rPr>
      </w:pPr>
    </w:p>
    <w:p w14:paraId="30D1B181" w14:textId="77777777" w:rsidR="00F828FD" w:rsidRPr="00F828FD" w:rsidRDefault="00F828FD" w:rsidP="00F828FD">
      <w:pPr>
        <w:spacing w:after="0" w:line="360" w:lineRule="auto"/>
        <w:jc w:val="both"/>
        <w:rPr>
          <w:rFonts w:ascii="Times New Roman" w:hAnsi="Times New Roman" w:cs="Times New Roman"/>
          <w:sz w:val="21"/>
          <w:szCs w:val="21"/>
        </w:rPr>
      </w:pPr>
    </w:p>
    <w:p w14:paraId="6BEFC8BF" w14:textId="77777777" w:rsidR="00F828FD" w:rsidRPr="00F828FD" w:rsidRDefault="00F828FD" w:rsidP="00F828FD">
      <w:pPr>
        <w:spacing w:after="0" w:line="360" w:lineRule="auto"/>
        <w:jc w:val="both"/>
        <w:rPr>
          <w:rFonts w:ascii="Times New Roman" w:hAnsi="Times New Roman" w:cs="Times New Roman"/>
          <w:sz w:val="21"/>
          <w:szCs w:val="21"/>
        </w:rPr>
      </w:pPr>
    </w:p>
    <w:p w14:paraId="23750CDD" w14:textId="77777777" w:rsidR="00F828FD" w:rsidRPr="00F828FD" w:rsidRDefault="00F828FD" w:rsidP="00F828FD">
      <w:pPr>
        <w:spacing w:after="0" w:line="360" w:lineRule="auto"/>
        <w:jc w:val="both"/>
        <w:rPr>
          <w:rFonts w:ascii="Times New Roman" w:hAnsi="Times New Roman" w:cs="Times New Roman"/>
          <w:sz w:val="21"/>
          <w:szCs w:val="21"/>
        </w:rPr>
      </w:pPr>
    </w:p>
    <w:p w14:paraId="01740B85" w14:textId="77777777" w:rsidR="00F828FD" w:rsidRPr="00F828FD" w:rsidRDefault="00F828FD" w:rsidP="00F828FD">
      <w:pPr>
        <w:spacing w:after="0" w:line="360" w:lineRule="auto"/>
        <w:jc w:val="both"/>
        <w:rPr>
          <w:rFonts w:ascii="Times New Roman" w:hAnsi="Times New Roman" w:cs="Times New Roman"/>
          <w:sz w:val="21"/>
          <w:szCs w:val="21"/>
        </w:rPr>
      </w:pPr>
    </w:p>
    <w:p w14:paraId="50222035" w14:textId="77777777" w:rsidR="00F828FD" w:rsidRPr="00F828FD" w:rsidRDefault="00F828FD" w:rsidP="00F828FD">
      <w:pPr>
        <w:spacing w:after="0" w:line="360" w:lineRule="auto"/>
        <w:jc w:val="both"/>
        <w:rPr>
          <w:rFonts w:ascii="Times New Roman" w:hAnsi="Times New Roman" w:cs="Times New Roman"/>
          <w:sz w:val="21"/>
          <w:szCs w:val="21"/>
        </w:rPr>
      </w:pPr>
    </w:p>
    <w:p w14:paraId="05397D3D" w14:textId="77777777" w:rsidR="00F828FD" w:rsidRPr="00F828FD" w:rsidRDefault="00F828FD" w:rsidP="00F828FD">
      <w:pPr>
        <w:spacing w:after="0" w:line="360" w:lineRule="auto"/>
        <w:jc w:val="both"/>
        <w:rPr>
          <w:rFonts w:ascii="Times New Roman" w:hAnsi="Times New Roman" w:cs="Times New Roman"/>
          <w:sz w:val="21"/>
          <w:szCs w:val="21"/>
        </w:rPr>
      </w:pPr>
    </w:p>
    <w:p w14:paraId="7DC98620" w14:textId="77777777" w:rsidR="00F828FD" w:rsidRPr="00F828FD" w:rsidRDefault="00F828FD" w:rsidP="00F828FD">
      <w:pPr>
        <w:spacing w:after="0" w:line="360" w:lineRule="auto"/>
        <w:jc w:val="both"/>
        <w:rPr>
          <w:rFonts w:ascii="Times New Roman" w:hAnsi="Times New Roman" w:cs="Times New Roman"/>
          <w:sz w:val="21"/>
          <w:szCs w:val="21"/>
        </w:rPr>
      </w:pPr>
    </w:p>
    <w:p w14:paraId="52D625C3" w14:textId="5BC1F12A" w:rsidR="00F828FD" w:rsidRPr="00F828FD" w:rsidRDefault="00F828FD" w:rsidP="00F828FD">
      <w:pPr>
        <w:spacing w:after="0" w:line="360" w:lineRule="auto"/>
        <w:jc w:val="center"/>
        <w:rPr>
          <w:rFonts w:ascii="Times New Roman" w:hAnsi="Times New Roman" w:cs="Times New Roman"/>
          <w:sz w:val="21"/>
          <w:szCs w:val="21"/>
        </w:rPr>
      </w:pPr>
      <w:r w:rsidRPr="00F828FD">
        <w:rPr>
          <w:rFonts w:ascii="Times New Roman" w:hAnsi="Times New Roman" w:cs="Times New Roman"/>
          <w:sz w:val="21"/>
          <w:szCs w:val="21"/>
        </w:rPr>
        <w:t>References:</w:t>
      </w:r>
    </w:p>
    <w:p w14:paraId="76B4DA33" w14:textId="3A4DB1CC" w:rsidR="00F828FD" w:rsidRPr="00F828FD" w:rsidRDefault="00F828FD" w:rsidP="00F828FD">
      <w:pPr>
        <w:spacing w:after="0" w:line="360" w:lineRule="auto"/>
        <w:jc w:val="both"/>
        <w:rPr>
          <w:rFonts w:ascii="Times New Roman" w:hAnsi="Times New Roman" w:cs="Times New Roman"/>
          <w:sz w:val="21"/>
          <w:szCs w:val="21"/>
        </w:rPr>
      </w:pPr>
      <w:r w:rsidRPr="00F828FD">
        <w:rPr>
          <w:rFonts w:ascii="Times New Roman" w:hAnsi="Times New Roman" w:cs="Times New Roman"/>
          <w:sz w:val="21"/>
          <w:szCs w:val="21"/>
        </w:rPr>
        <w:t xml:space="preserve">[1] Zhou </w:t>
      </w:r>
      <w:proofErr w:type="spellStart"/>
      <w:r w:rsidRPr="00F828FD">
        <w:rPr>
          <w:rFonts w:ascii="Times New Roman" w:hAnsi="Times New Roman" w:cs="Times New Roman"/>
          <w:sz w:val="21"/>
          <w:szCs w:val="21"/>
        </w:rPr>
        <w:t>Shouhua</w:t>
      </w:r>
      <w:proofErr w:type="spellEnd"/>
      <w:r w:rsidRPr="00F828FD">
        <w:rPr>
          <w:rFonts w:ascii="Times New Roman" w:hAnsi="Times New Roman" w:cs="Times New Roman"/>
          <w:sz w:val="21"/>
          <w:szCs w:val="21"/>
        </w:rPr>
        <w:t>, Yang Huimin. Financial Management Objectives from the Perspective of Corporate Governance Structure [J]. Accounting Research, 2000(9): 7-11.</w:t>
      </w:r>
    </w:p>
    <w:p w14:paraId="5E9BB094" w14:textId="51AABB45" w:rsidR="00F828FD" w:rsidRPr="00F828FD" w:rsidRDefault="00F828FD" w:rsidP="00F828FD">
      <w:pPr>
        <w:spacing w:after="0" w:line="360" w:lineRule="auto"/>
        <w:jc w:val="both"/>
        <w:rPr>
          <w:rFonts w:ascii="Times New Roman" w:hAnsi="Times New Roman" w:cs="Times New Roman"/>
          <w:sz w:val="21"/>
          <w:szCs w:val="21"/>
        </w:rPr>
      </w:pPr>
      <w:r w:rsidRPr="00F828FD">
        <w:rPr>
          <w:rFonts w:ascii="Times New Roman" w:hAnsi="Times New Roman" w:cs="Times New Roman"/>
          <w:sz w:val="21"/>
          <w:szCs w:val="21"/>
        </w:rPr>
        <w:t>[2] Liu Huilong, Wang Chengfang, Wu Liansheng. Decision Rights Allocation, Earnings Management, and Investment Efficiency [J]. Economic Research, 2014, 49(8): 93-106.</w:t>
      </w:r>
    </w:p>
    <w:p w14:paraId="3608C4F8" w14:textId="1DDF2FF1" w:rsidR="00F828FD" w:rsidRPr="00F828FD" w:rsidRDefault="00F828FD" w:rsidP="00F828FD">
      <w:pPr>
        <w:spacing w:after="0" w:line="360" w:lineRule="auto"/>
        <w:jc w:val="both"/>
        <w:rPr>
          <w:rFonts w:ascii="Times New Roman" w:hAnsi="Times New Roman" w:cs="Times New Roman"/>
          <w:sz w:val="21"/>
          <w:szCs w:val="21"/>
        </w:rPr>
      </w:pPr>
      <w:r w:rsidRPr="00F828FD">
        <w:rPr>
          <w:rFonts w:ascii="Times New Roman" w:hAnsi="Times New Roman" w:cs="Times New Roman"/>
          <w:sz w:val="21"/>
          <w:szCs w:val="21"/>
        </w:rPr>
        <w:t>[3] Liu Beibei, Li Chuntao. Qualified Foreign Institutional Investors and Corporate Earnings Management [J]. Management Science, 2022, 35(2): 97-110.</w:t>
      </w:r>
    </w:p>
    <w:p w14:paraId="08DF8EF5" w14:textId="163EFD48" w:rsidR="00F828FD" w:rsidRPr="00F828FD" w:rsidRDefault="00F828FD" w:rsidP="00F828FD">
      <w:pPr>
        <w:spacing w:after="0" w:line="360" w:lineRule="auto"/>
        <w:jc w:val="both"/>
        <w:rPr>
          <w:rFonts w:ascii="Times New Roman" w:hAnsi="Times New Roman" w:cs="Times New Roman"/>
          <w:sz w:val="21"/>
          <w:szCs w:val="21"/>
        </w:rPr>
      </w:pPr>
      <w:r w:rsidRPr="00F828FD">
        <w:rPr>
          <w:rFonts w:ascii="Times New Roman" w:hAnsi="Times New Roman" w:cs="Times New Roman"/>
          <w:sz w:val="21"/>
          <w:szCs w:val="21"/>
        </w:rPr>
        <w:t xml:space="preserve">[4] Han </w:t>
      </w:r>
      <w:proofErr w:type="spellStart"/>
      <w:r w:rsidRPr="00F828FD">
        <w:rPr>
          <w:rFonts w:ascii="Times New Roman" w:hAnsi="Times New Roman" w:cs="Times New Roman"/>
          <w:sz w:val="21"/>
          <w:szCs w:val="21"/>
        </w:rPr>
        <w:t>Zhongxue</w:t>
      </w:r>
      <w:proofErr w:type="spellEnd"/>
      <w:r w:rsidRPr="00F828FD">
        <w:rPr>
          <w:rFonts w:ascii="Times New Roman" w:hAnsi="Times New Roman" w:cs="Times New Roman"/>
          <w:sz w:val="21"/>
          <w:szCs w:val="21"/>
        </w:rPr>
        <w:t>, Wang Xiaoqing, Xia Wenlei. External Investors, Dividend Policy, and Corporate Technical Efficiency—Taking Listed Companies in Private Manufacturing and Information Technology Industry as Examples [J]. Journal of Nanjing Audit University, 2019, 16(5): 43-54.</w:t>
      </w:r>
    </w:p>
    <w:p w14:paraId="49FCBFE5" w14:textId="098766A3" w:rsidR="00F828FD" w:rsidRPr="00F828FD" w:rsidRDefault="00F828FD" w:rsidP="00F828FD">
      <w:pPr>
        <w:spacing w:after="0" w:line="360" w:lineRule="auto"/>
        <w:jc w:val="both"/>
        <w:rPr>
          <w:rFonts w:ascii="Times New Roman" w:hAnsi="Times New Roman" w:cs="Times New Roman"/>
          <w:sz w:val="21"/>
          <w:szCs w:val="21"/>
        </w:rPr>
      </w:pPr>
      <w:r w:rsidRPr="00F828FD">
        <w:rPr>
          <w:rFonts w:ascii="Times New Roman" w:hAnsi="Times New Roman" w:cs="Times New Roman"/>
          <w:sz w:val="21"/>
          <w:szCs w:val="21"/>
        </w:rPr>
        <w:t xml:space="preserve">[5] Zhang Yong. Executive Excess Compensation and Corporate Accounting Information </w:t>
      </w:r>
      <w:r w:rsidRPr="00F828FD">
        <w:rPr>
          <w:rFonts w:ascii="Times New Roman" w:hAnsi="Times New Roman" w:cs="Times New Roman"/>
          <w:sz w:val="21"/>
          <w:szCs w:val="21"/>
        </w:rPr>
        <w:lastRenderedPageBreak/>
        <w:t>Comparability—Based on the Perspective of Compensation Defense Theory [J]. Accounting and Economic Research, 2020, 34(3): 50-67.</w:t>
      </w:r>
    </w:p>
    <w:p w14:paraId="2D2CF8E6" w14:textId="2A792686" w:rsidR="00F828FD" w:rsidRPr="00F828FD" w:rsidRDefault="00F828FD" w:rsidP="00F828FD">
      <w:pPr>
        <w:spacing w:after="0" w:line="360" w:lineRule="auto"/>
        <w:jc w:val="both"/>
        <w:rPr>
          <w:rFonts w:ascii="Times New Roman" w:hAnsi="Times New Roman" w:cs="Times New Roman"/>
          <w:sz w:val="21"/>
          <w:szCs w:val="21"/>
        </w:rPr>
      </w:pPr>
      <w:r w:rsidRPr="00F828FD">
        <w:rPr>
          <w:rFonts w:ascii="Times New Roman" w:hAnsi="Times New Roman" w:cs="Times New Roman"/>
          <w:sz w:val="21"/>
          <w:szCs w:val="21"/>
        </w:rPr>
        <w:t xml:space="preserve">[6] Xi </w:t>
      </w:r>
      <w:proofErr w:type="spellStart"/>
      <w:r w:rsidRPr="00F828FD">
        <w:rPr>
          <w:rFonts w:ascii="Times New Roman" w:hAnsi="Times New Roman" w:cs="Times New Roman"/>
          <w:sz w:val="21"/>
          <w:szCs w:val="21"/>
        </w:rPr>
        <w:t>Longsheng</w:t>
      </w:r>
      <w:proofErr w:type="spellEnd"/>
      <w:r w:rsidRPr="00F828FD">
        <w:rPr>
          <w:rFonts w:ascii="Times New Roman" w:hAnsi="Times New Roman" w:cs="Times New Roman"/>
          <w:sz w:val="21"/>
          <w:szCs w:val="21"/>
        </w:rPr>
        <w:t>, Zhao Hui. Executives' Dual Environmental Cognition, Green Innovation, and Corporate Sustainable Development Performance [J]. Economic Management, 2022, 44(3): 139-158.</w:t>
      </w:r>
    </w:p>
    <w:p w14:paraId="326062C8" w14:textId="04C7BC13" w:rsidR="00F828FD" w:rsidRPr="00F828FD" w:rsidRDefault="00F828FD" w:rsidP="00F828FD">
      <w:pPr>
        <w:spacing w:after="0" w:line="360" w:lineRule="auto"/>
        <w:jc w:val="both"/>
        <w:rPr>
          <w:rFonts w:ascii="Times New Roman" w:hAnsi="Times New Roman" w:cs="Times New Roman"/>
          <w:sz w:val="21"/>
          <w:szCs w:val="21"/>
        </w:rPr>
      </w:pPr>
      <w:r w:rsidRPr="00F828FD">
        <w:rPr>
          <w:rFonts w:ascii="Times New Roman" w:hAnsi="Times New Roman" w:cs="Times New Roman"/>
          <w:sz w:val="21"/>
          <w:szCs w:val="21"/>
        </w:rPr>
        <w:t>[7] Huang Huiping, Song Xiaojing. Internal Control Reports, Accounting Information Quality, and Corporate Value—Empirical Research Based on Shanghai A-shares [J]. Economic Management, 2012, 34(1): 122-128.</w:t>
      </w:r>
    </w:p>
    <w:p w14:paraId="36BA5232" w14:textId="77777777" w:rsidR="00F828FD" w:rsidRPr="00F828FD" w:rsidRDefault="00F828FD" w:rsidP="00F828FD">
      <w:pPr>
        <w:spacing w:after="0" w:line="360" w:lineRule="auto"/>
        <w:jc w:val="both"/>
        <w:rPr>
          <w:rFonts w:ascii="Times New Roman" w:hAnsi="Times New Roman" w:cs="Times New Roman"/>
          <w:sz w:val="21"/>
          <w:szCs w:val="21"/>
        </w:rPr>
      </w:pPr>
      <w:r w:rsidRPr="00F828FD">
        <w:rPr>
          <w:rFonts w:ascii="Times New Roman" w:hAnsi="Times New Roman" w:cs="Times New Roman"/>
          <w:sz w:val="21"/>
          <w:szCs w:val="21"/>
        </w:rPr>
        <w:t xml:space="preserve">[8] Tan </w:t>
      </w:r>
      <w:proofErr w:type="spellStart"/>
      <w:r w:rsidRPr="00F828FD">
        <w:rPr>
          <w:rFonts w:ascii="Times New Roman" w:hAnsi="Times New Roman" w:cs="Times New Roman"/>
          <w:sz w:val="21"/>
          <w:szCs w:val="21"/>
        </w:rPr>
        <w:t>Hongyang</w:t>
      </w:r>
      <w:proofErr w:type="spellEnd"/>
      <w:r w:rsidRPr="00F828FD">
        <w:rPr>
          <w:rFonts w:ascii="Times New Roman" w:hAnsi="Times New Roman" w:cs="Times New Roman"/>
          <w:sz w:val="21"/>
          <w:szCs w:val="21"/>
        </w:rPr>
        <w:t>, Liu Jinlian, Li Zhijun, et al. Impact of Institutional Investor Shareholding on Corporate New Quality Productivity [J]. Journal of Yunnan University of Finance and Economics, 2024, 40(8): 56-71.</w:t>
      </w:r>
    </w:p>
    <w:p w14:paraId="6E82836D" w14:textId="7D86CCC3" w:rsidR="006456D3" w:rsidRPr="00F828FD" w:rsidRDefault="006456D3" w:rsidP="00F828FD">
      <w:pPr>
        <w:spacing w:after="0" w:line="360" w:lineRule="auto"/>
        <w:jc w:val="both"/>
        <w:rPr>
          <w:rFonts w:ascii="Times New Roman" w:hAnsi="Times New Roman" w:cs="Times New Roman"/>
          <w:sz w:val="21"/>
          <w:szCs w:val="21"/>
        </w:rPr>
      </w:pPr>
    </w:p>
    <w:sectPr w:rsidR="006456D3" w:rsidRPr="00F828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22664"/>
    <w:multiLevelType w:val="hybridMultilevel"/>
    <w:tmpl w:val="4164E714"/>
    <w:lvl w:ilvl="0" w:tplc="AB566FAA">
      <w:start w:val="2"/>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87168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6D3"/>
    <w:rsid w:val="00162FD6"/>
    <w:rsid w:val="006456D3"/>
    <w:rsid w:val="00F82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A8B6CE"/>
  <w15:chartTrackingRefBased/>
  <w15:docId w15:val="{13695B80-86F9-4EC9-A85C-7E5CFCDA1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56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56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56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56D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56D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456D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56D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56D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456D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56D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56D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56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56D3"/>
    <w:rPr>
      <w:rFonts w:cstheme="majorBidi"/>
      <w:color w:val="0F4761" w:themeColor="accent1" w:themeShade="BF"/>
      <w:sz w:val="28"/>
      <w:szCs w:val="28"/>
    </w:rPr>
  </w:style>
  <w:style w:type="character" w:customStyle="1" w:styleId="50">
    <w:name w:val="标题 5 字符"/>
    <w:basedOn w:val="a0"/>
    <w:link w:val="5"/>
    <w:uiPriority w:val="9"/>
    <w:semiHidden/>
    <w:rsid w:val="006456D3"/>
    <w:rPr>
      <w:rFonts w:cstheme="majorBidi"/>
      <w:color w:val="0F4761" w:themeColor="accent1" w:themeShade="BF"/>
      <w:sz w:val="24"/>
    </w:rPr>
  </w:style>
  <w:style w:type="character" w:customStyle="1" w:styleId="60">
    <w:name w:val="标题 6 字符"/>
    <w:basedOn w:val="a0"/>
    <w:link w:val="6"/>
    <w:uiPriority w:val="9"/>
    <w:semiHidden/>
    <w:rsid w:val="006456D3"/>
    <w:rPr>
      <w:rFonts w:cstheme="majorBidi"/>
      <w:b/>
      <w:bCs/>
      <w:color w:val="0F4761" w:themeColor="accent1" w:themeShade="BF"/>
    </w:rPr>
  </w:style>
  <w:style w:type="character" w:customStyle="1" w:styleId="70">
    <w:name w:val="标题 7 字符"/>
    <w:basedOn w:val="a0"/>
    <w:link w:val="7"/>
    <w:uiPriority w:val="9"/>
    <w:semiHidden/>
    <w:rsid w:val="006456D3"/>
    <w:rPr>
      <w:rFonts w:cstheme="majorBidi"/>
      <w:b/>
      <w:bCs/>
      <w:color w:val="595959" w:themeColor="text1" w:themeTint="A6"/>
    </w:rPr>
  </w:style>
  <w:style w:type="character" w:customStyle="1" w:styleId="80">
    <w:name w:val="标题 8 字符"/>
    <w:basedOn w:val="a0"/>
    <w:link w:val="8"/>
    <w:uiPriority w:val="9"/>
    <w:semiHidden/>
    <w:rsid w:val="006456D3"/>
    <w:rPr>
      <w:rFonts w:cstheme="majorBidi"/>
      <w:color w:val="595959" w:themeColor="text1" w:themeTint="A6"/>
    </w:rPr>
  </w:style>
  <w:style w:type="character" w:customStyle="1" w:styleId="90">
    <w:name w:val="标题 9 字符"/>
    <w:basedOn w:val="a0"/>
    <w:link w:val="9"/>
    <w:uiPriority w:val="9"/>
    <w:semiHidden/>
    <w:rsid w:val="006456D3"/>
    <w:rPr>
      <w:rFonts w:eastAsiaTheme="majorEastAsia" w:cstheme="majorBidi"/>
      <w:color w:val="595959" w:themeColor="text1" w:themeTint="A6"/>
    </w:rPr>
  </w:style>
  <w:style w:type="paragraph" w:styleId="a3">
    <w:name w:val="Title"/>
    <w:basedOn w:val="a"/>
    <w:next w:val="a"/>
    <w:link w:val="a4"/>
    <w:uiPriority w:val="10"/>
    <w:qFormat/>
    <w:rsid w:val="006456D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56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56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56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56D3"/>
    <w:pPr>
      <w:spacing w:before="160"/>
      <w:jc w:val="center"/>
    </w:pPr>
    <w:rPr>
      <w:i/>
      <w:iCs/>
      <w:color w:val="404040" w:themeColor="text1" w:themeTint="BF"/>
    </w:rPr>
  </w:style>
  <w:style w:type="character" w:customStyle="1" w:styleId="a8">
    <w:name w:val="引用 字符"/>
    <w:basedOn w:val="a0"/>
    <w:link w:val="a7"/>
    <w:uiPriority w:val="29"/>
    <w:rsid w:val="006456D3"/>
    <w:rPr>
      <w:i/>
      <w:iCs/>
      <w:color w:val="404040" w:themeColor="text1" w:themeTint="BF"/>
    </w:rPr>
  </w:style>
  <w:style w:type="paragraph" w:styleId="a9">
    <w:name w:val="List Paragraph"/>
    <w:basedOn w:val="a"/>
    <w:uiPriority w:val="34"/>
    <w:qFormat/>
    <w:rsid w:val="006456D3"/>
    <w:pPr>
      <w:ind w:left="720"/>
      <w:contextualSpacing/>
    </w:pPr>
  </w:style>
  <w:style w:type="character" w:styleId="aa">
    <w:name w:val="Intense Emphasis"/>
    <w:basedOn w:val="a0"/>
    <w:uiPriority w:val="21"/>
    <w:qFormat/>
    <w:rsid w:val="006456D3"/>
    <w:rPr>
      <w:i/>
      <w:iCs/>
      <w:color w:val="0F4761" w:themeColor="accent1" w:themeShade="BF"/>
    </w:rPr>
  </w:style>
  <w:style w:type="paragraph" w:styleId="ab">
    <w:name w:val="Intense Quote"/>
    <w:basedOn w:val="a"/>
    <w:next w:val="a"/>
    <w:link w:val="ac"/>
    <w:uiPriority w:val="30"/>
    <w:qFormat/>
    <w:rsid w:val="00645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56D3"/>
    <w:rPr>
      <w:i/>
      <w:iCs/>
      <w:color w:val="0F4761" w:themeColor="accent1" w:themeShade="BF"/>
    </w:rPr>
  </w:style>
  <w:style w:type="character" w:styleId="ad">
    <w:name w:val="Intense Reference"/>
    <w:basedOn w:val="a0"/>
    <w:uiPriority w:val="32"/>
    <w:qFormat/>
    <w:rsid w:val="006456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10742</Words>
  <Characters>12246</Characters>
  <Application>Microsoft Office Word</Application>
  <DocSecurity>0</DocSecurity>
  <Lines>720</Lines>
  <Paragraphs>957</Paragraphs>
  <ScaleCrop>false</ScaleCrop>
  <Company/>
  <LinksUpToDate>false</LinksUpToDate>
  <CharactersWithSpaces>22031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 刘</dc:creator>
  <cp:keywords/>
  <dc:description/>
  <cp:lastModifiedBy>逸 刘</cp:lastModifiedBy>
  <cp:revision>2</cp:revision>
  <dcterms:created xsi:type="dcterms:W3CDTF">2026-04-18T12:51:00Z</dcterms:created>
  <dcterms:modified xsi:type="dcterms:W3CDTF">2026-04-18T12:57:00Z</dcterms:modified>
</cp:coreProperties>
</file>