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line="360" w:lineRule="auto"/>
      </w:pPr>
      <w:r>
        <w:rPr>
          <w:rFonts w:ascii="Times New Roman" w:hAnsi="Times New Roman" w:eastAsia="黑体"/>
          <w:sz w:val="32"/>
          <w:szCs w:val="32"/>
          <w:b/>
          <w:bCs/>
        </w:rPr>
        <w:t>第7章 实验与结果分析</w:t>
      </w:r>
    </w:p>
    <w:p>
      <w:pPr>
        <w:spacing w:line="360" w:lineRule="auto"/>
      </w:pPr>
      <w:r>
        <w:rPr>
          <w:rFonts w:ascii="Times New Roman" w:hAnsi="Times New Roman" w:eastAsia="宋体"/>
          <w:sz w:val="24"/>
          <w:szCs w:val="24"/>
          <w:b/>
          <w:bCs/>
        </w:rPr>
        <w:t>说明：</w:t>
      </w:r>
      <w:r>
        <w:rPr>
          <w:rFonts w:ascii="Times New Roman" w:hAnsi="Times New Roman" w:eastAsia="宋体"/>
          <w:sz w:val="24"/>
          <w:szCs w:val="24"/>
        </w:rPr>
        <w:t xml:space="preserve"> 基线切换方式与 `config.config` 中 `KG_CONTEXT_ENABLED`、`RAG_ENABLED` 一致。定量表格中数值为</w:t>
      </w:r>
      <w:r>
        <w:rPr>
          <w:rFonts w:ascii="Times New Roman" w:hAnsi="Times New Roman" w:eastAsia="宋体"/>
          <w:sz w:val="24"/>
          <w:szCs w:val="24"/>
          <w:b/>
          <w:bCs/>
        </w:rPr>
        <w:t>占位</w:t>
      </w:r>
      <w:r>
        <w:rPr>
          <w:rFonts w:ascii="Times New Roman" w:hAnsi="Times New Roman" w:eastAsia="宋体"/>
          <w:sz w:val="24"/>
          <w:szCs w:val="24"/>
        </w:rPr>
        <w:t>，定稿前请根据实测填写。可经 `scripts/export_md_to_docx.py` 导出 Word。</w:t>
      </w:r>
    </w:p>
    <w:p>
      <w:pPr>
        <w:spacing w:line="360" w:lineRule="auto"/>
      </w:pPr>
      <w:r>
        <w:rPr>
          <w:rFonts w:ascii="Times New Roman" w:hAnsi="Times New Roman" w:eastAsia="黑体"/>
          <w:sz w:val="28"/>
          <w:szCs w:val="28"/>
          <w:b/>
          <w:bCs/>
        </w:rPr>
        <w:t>7.1 实验环境与数据集说明</w:t>
      </w:r>
    </w:p>
    <w:p>
      <w:pPr>
        <w:spacing w:line="360" w:lineRule="auto"/>
      </w:pPr>
      <w:r>
        <w:rPr>
          <w:rFonts w:ascii="Times New Roman" w:hAnsi="Times New Roman" w:eastAsia="黑体"/>
          <w:sz w:val="24"/>
          <w:szCs w:val="24"/>
          <w:b/>
          <w:bCs/>
        </w:rPr>
        <w:t>7.1.1 软硬件与依赖版本</w:t>
      </w:r>
    </w:p>
    <w:p>
      <w:pPr>
        <w:spacing w:line="360" w:lineRule="auto"/>
      </w:pPr>
      <w:r>
        <w:rPr>
          <w:rFonts w:ascii="Times New Roman" w:hAnsi="Times New Roman" w:eastAsia="宋体"/>
          <w:sz w:val="24"/>
          <w:szCs w:val="24"/>
          <w:b/>
          <w:bCs/>
        </w:rPr>
        <w:t>硬件</w:t>
      </w:r>
      <w:r>
        <w:rPr>
          <w:rFonts w:ascii="Times New Roman" w:hAnsi="Times New Roman" w:eastAsia="宋体"/>
          <w:sz w:val="24"/>
          <w:szCs w:val="24"/>
        </w:rPr>
        <w:t>：记录实验所用机型即可，例如 CPU 型号与内存容量、是否配备 NVIDIA GPU 或 Apple Silicon（MPS）等。</w:t>
      </w:r>
    </w:p>
    <w:p>
      <w:pPr>
        <w:spacing w:line="360" w:lineRule="auto"/>
      </w:pPr>
      <w:r>
        <w:rPr>
          <w:rFonts w:ascii="Times New Roman" w:hAnsi="Times New Roman" w:eastAsia="宋体"/>
          <w:sz w:val="24"/>
          <w:szCs w:val="24"/>
          <w:b/>
          <w:bCs/>
        </w:rPr>
        <w:t>软件环境</w:t>
      </w:r>
      <w:r>
        <w:rPr>
          <w:rFonts w:ascii="Times New Roman" w:hAnsi="Times New Roman" w:eastAsia="宋体"/>
          <w:sz w:val="24"/>
          <w:szCs w:val="24"/>
        </w:rPr>
        <w:t xml:space="preserve">：操作系统版本；Python 解释器版本；核心依赖包括 </w:t>
      </w:r>
      <w:r>
        <w:rPr>
          <w:rFonts w:ascii="Times New Roman" w:hAnsi="Times New Roman" w:eastAsia="宋体"/>
          <w:sz w:val="24"/>
          <w:szCs w:val="24"/>
          <w:b/>
          <w:bCs/>
        </w:rPr>
        <w:t>Flask</w:t>
      </w:r>
      <w:r>
        <w:rPr>
          <w:rFonts w:ascii="Times New Roman" w:hAnsi="Times New Roman" w:eastAsia="宋体"/>
          <w:sz w:val="24"/>
          <w:szCs w:val="24"/>
        </w:rPr>
        <w:t>、</w:t>
      </w:r>
      <w:r>
        <w:rPr>
          <w:rFonts w:ascii="Times New Roman" w:hAnsi="Times New Roman" w:eastAsia="宋体"/>
          <w:sz w:val="24"/>
          <w:szCs w:val="24"/>
          <w:b/>
          <w:bCs/>
        </w:rPr>
        <w:t>Neo4j</w:t>
      </w:r>
      <w:r>
        <w:rPr>
          <w:rFonts w:ascii="Times New Roman" w:hAnsi="Times New Roman" w:eastAsia="宋体"/>
          <w:sz w:val="24"/>
          <w:szCs w:val="24"/>
        </w:rPr>
        <w:t xml:space="preserve"> 数据库及服务端版本、</w:t>
      </w:r>
      <w:r>
        <w:rPr>
          <w:rFonts w:ascii="Times New Roman" w:hAnsi="Times New Roman" w:eastAsia="宋体"/>
          <w:sz w:val="24"/>
          <w:szCs w:val="24"/>
          <w:b/>
          <w:bCs/>
        </w:rPr>
        <w:t>PyTorch</w:t>
      </w:r>
      <w:r>
        <w:rPr>
          <w:rFonts w:ascii="Times New Roman" w:hAnsi="Times New Roman" w:eastAsia="宋体"/>
          <w:sz w:val="24"/>
          <w:szCs w:val="24"/>
        </w:rPr>
        <w:t>、</w:t>
      </w:r>
      <w:r>
        <w:rPr>
          <w:rFonts w:ascii="Times New Roman" w:hAnsi="Times New Roman" w:eastAsia="宋体"/>
          <w:sz w:val="24"/>
          <w:szCs w:val="24"/>
          <w:b/>
          <w:bCs/>
        </w:rPr>
        <w:t>transformers</w:t>
      </w:r>
      <w:r>
        <w:rPr>
          <w:rFonts w:ascii="Times New Roman" w:hAnsi="Times New Roman" w:eastAsia="宋体"/>
          <w:sz w:val="24"/>
          <w:szCs w:val="24"/>
        </w:rPr>
        <w:t>、</w:t>
      </w:r>
      <w:r>
        <w:rPr>
          <w:rFonts w:ascii="Times New Roman" w:hAnsi="Times New Roman" w:eastAsia="宋体"/>
          <w:sz w:val="24"/>
          <w:szCs w:val="24"/>
          <w:b/>
          <w:bCs/>
        </w:rPr>
        <w:t>peft</w:t>
      </w:r>
      <w:r>
        <w:rPr>
          <w:rFonts w:ascii="Times New Roman" w:hAnsi="Times New Roman" w:eastAsia="宋体"/>
          <w:sz w:val="24"/>
          <w:szCs w:val="24"/>
        </w:rPr>
        <w:t>、</w:t>
      </w:r>
      <w:r>
        <w:rPr>
          <w:rFonts w:ascii="Times New Roman" w:hAnsi="Times New Roman" w:eastAsia="宋体"/>
          <w:sz w:val="24"/>
          <w:szCs w:val="24"/>
          <w:b/>
          <w:bCs/>
        </w:rPr>
        <w:t>sentence-transformers</w:t>
      </w:r>
      <w:r>
        <w:rPr>
          <w:rFonts w:ascii="Times New Roman" w:hAnsi="Times New Roman" w:eastAsia="宋体"/>
          <w:sz w:val="24"/>
          <w:szCs w:val="24"/>
        </w:rPr>
        <w:t>、</w:t>
      </w:r>
      <w:r>
        <w:rPr>
          <w:rFonts w:ascii="Times New Roman" w:hAnsi="Times New Roman" w:eastAsia="宋体"/>
          <w:sz w:val="24"/>
          <w:szCs w:val="24"/>
          <w:b/>
          <w:bCs/>
        </w:rPr>
        <w:t>neo4j</w:t>
      </w:r>
      <w:r>
        <w:rPr>
          <w:rFonts w:ascii="Times New Roman" w:hAnsi="Times New Roman" w:eastAsia="宋体"/>
          <w:sz w:val="24"/>
          <w:szCs w:val="24"/>
        </w:rPr>
        <w:t xml:space="preserve"> 驱动等。论文中建议以表格列出「包名—版本号」，与 `requirements.txt` 或 `pip freeze` 抽样一致，便于复现。</w:t>
      </w:r>
    </w:p>
    <w:p>
      <w:pPr>
        <w:spacing w:line="360" w:lineRule="auto"/>
      </w:pPr>
      <w:r>
        <w:rPr>
          <w:rFonts w:ascii="Times New Roman" w:hAnsi="Times New Roman" w:eastAsia="宋体"/>
          <w:sz w:val="24"/>
          <w:szCs w:val="24"/>
          <w:b/>
          <w:bCs/>
        </w:rPr>
        <w:t>模型与推理</w:t>
      </w:r>
      <w:r>
        <w:rPr>
          <w:rFonts w:ascii="Times New Roman" w:hAnsi="Times New Roman" w:eastAsia="宋体"/>
          <w:sz w:val="24"/>
          <w:szCs w:val="24"/>
        </w:rPr>
        <w:t>：基座模型为配置项 `MODEL_NAME`（如 Qwen1.5-1.8B）；LoRA 适配器目录为 `FINETUNED_MODEL_PATH`；嵌入模型为 `RAG_EMBEDDING_MODEL`（如 bge-small-zh）。说明是否在 GPU/MPS/CPU 上完成全部对比实验，以及是否固定随机种子（采样解码时若需可固定 `torch.manual_seed` 等）。</w:t>
      </w:r>
    </w:p>
    <w:p>
      <w:pPr>
        <w:spacing w:line="360" w:lineRule="auto"/>
      </w:pPr>
      <w:r>
        <w:rPr>
          <w:rFonts w:ascii="Times New Roman" w:hAnsi="Times New Roman" w:eastAsia="黑体"/>
          <w:sz w:val="24"/>
          <w:szCs w:val="24"/>
          <w:b/>
          <w:bCs/>
        </w:rPr>
        <w:t>7.1.2 知识库与图谱规模统计</w:t>
      </w:r>
    </w:p>
    <w:p>
      <w:pPr>
        <w:spacing w:line="360" w:lineRule="auto"/>
      </w:pPr>
      <w:r>
        <w:rPr>
          <w:rFonts w:ascii="Times New Roman" w:hAnsi="Times New Roman" w:eastAsia="宋体"/>
          <w:sz w:val="24"/>
          <w:szCs w:val="24"/>
          <w:b/>
          <w:bCs/>
        </w:rPr>
        <w:t>图谱数据</w:t>
      </w:r>
      <w:r>
        <w:rPr>
          <w:rFonts w:ascii="Times New Roman" w:hAnsi="Times New Roman" w:eastAsia="宋体"/>
          <w:sz w:val="24"/>
          <w:szCs w:val="24"/>
        </w:rPr>
        <w:t>：在 Neo4j 中统计 `Earthquake`、`Region`、`EmergencyTopic`、`GuidanceStep` 节点数量及主要关系边数量（可用 `MATCH (n) RETURN labels(n), count(*)` 等语句）。说明地震目录来源（`real_earthquakes_catalog.json` 或 CSV）及应急知识 JSON 中主题数、步骤数。</w:t>
      </w:r>
    </w:p>
    <w:p>
      <w:pPr>
        <w:spacing w:line="360" w:lineRule="auto"/>
      </w:pPr>
      <w:r>
        <w:rPr>
          <w:rFonts w:ascii="Times New Roman" w:hAnsi="Times New Roman" w:eastAsia="宋体"/>
          <w:sz w:val="24"/>
          <w:szCs w:val="24"/>
          <w:b/>
          <w:bCs/>
        </w:rPr>
        <w:t>RAG 语料</w:t>
      </w:r>
      <w:r>
        <w:rPr>
          <w:rFonts w:ascii="Times New Roman" w:hAnsi="Times New Roman" w:eastAsia="宋体"/>
          <w:sz w:val="24"/>
          <w:szCs w:val="24"/>
        </w:rPr>
        <w:t>：与第 5 章一致，topic 级 chunk 条数等于应急主题数；记录 `RAG_TOP_K`、`RAG_MAX_CHUNK_CHARS` 取值。</w:t>
      </w:r>
    </w:p>
    <w:p>
      <w:pPr>
        <w:spacing w:line="360" w:lineRule="auto"/>
      </w:pPr>
      <w:r>
        <w:rPr>
          <w:rFonts w:ascii="Times New Roman" w:hAnsi="Times New Roman" w:eastAsia="宋体"/>
          <w:sz w:val="24"/>
          <w:szCs w:val="24"/>
          <w:b/>
          <w:bCs/>
        </w:rPr>
        <w:t>微调数据（若论文需交代）</w:t>
      </w:r>
      <w:r>
        <w:rPr>
          <w:rFonts w:ascii="Times New Roman" w:hAnsi="Times New Roman" w:eastAsia="宋体"/>
          <w:sz w:val="24"/>
          <w:szCs w:val="24"/>
        </w:rPr>
        <w:t>：`TRAIN_DATA_FILE`、`VAL_DATA_FILE` 条数及划分比例。</w:t>
      </w:r>
    </w:p>
    <w:p>
      <w:pPr>
        <w:spacing w:line="360" w:lineRule="auto"/>
      </w:pPr>
      <w:r>
        <w:rPr>
          <w:rFonts w:ascii="Times New Roman" w:hAnsi="Times New Roman" w:eastAsia="黑体"/>
          <w:sz w:val="28"/>
          <w:szCs w:val="28"/>
          <w:b/>
          <w:bCs/>
        </w:rPr>
        <w:t>7.2 基线设置与评价方法</w:t>
      </w:r>
    </w:p>
    <w:p>
      <w:pPr>
        <w:spacing w:line="360" w:lineRule="auto"/>
      </w:pPr>
      <w:r>
        <w:rPr>
          <w:rFonts w:ascii="Times New Roman" w:hAnsi="Times New Roman" w:eastAsia="黑体"/>
          <w:sz w:val="24"/>
          <w:szCs w:val="24"/>
          <w:b/>
          <w:bCs/>
        </w:rPr>
        <w:t>7.2.1 基线系统（仅 LLM、仅 KG、仅 RAG、全协同）</w:t>
      </w:r>
    </w:p>
    <w:p>
      <w:pPr>
        <w:spacing w:line="360" w:lineRule="auto"/>
      </w:pPr>
      <w:r>
        <w:rPr>
          <w:rFonts w:ascii="Times New Roman" w:hAnsi="Times New Roman" w:eastAsia="宋体"/>
          <w:sz w:val="24"/>
          <w:szCs w:val="24"/>
        </w:rPr>
        <w:t>在</w:t>
      </w:r>
      <w:r>
        <w:rPr>
          <w:rFonts w:ascii="Times New Roman" w:hAnsi="Times New Roman" w:eastAsia="宋体"/>
          <w:sz w:val="24"/>
          <w:szCs w:val="24"/>
          <w:b/>
          <w:bCs/>
        </w:rPr>
        <w:t>同一基座与 LoRA 权重、同一解码超参</w:t>
      </w:r>
      <w:r>
        <w:rPr>
          <w:rFonts w:ascii="Times New Roman" w:hAnsi="Times New Roman" w:eastAsia="宋体"/>
          <w:sz w:val="24"/>
          <w:szCs w:val="24"/>
        </w:rPr>
        <w:t>下，仅通过配置切换上下文来源，构造四类设置：</w:t>
      </w:r>
    </w:p>
    <w:p>
      <w:pPr>
        <w:spacing w:line="360" w:lineRule="auto"/>
      </w:pPr>
      <w:r>
        <w:rPr>
          <w:rFonts w:ascii="Times New Roman" w:hAnsi="Times New Roman" w:eastAsia="宋体"/>
          <w:sz w:val="24"/>
          <w:szCs w:val="24"/>
        </w:rPr>
        <w:t>| 编号 | 设置名称 | KG_CONTEXT_ENABLED | RAG_ENABLED | 说明 |</w:t>
      </w:r>
    </w:p>
    <w:p>
      <w:pPr>
        <w:spacing w:line="360" w:lineRule="auto"/>
      </w:pPr>
      <w:r>
        <w:rPr>
          <w:rFonts w:ascii="Times New Roman" w:hAnsi="Times New Roman" w:eastAsia="宋体"/>
          <w:sz w:val="24"/>
          <w:szCs w:val="24"/>
        </w:rPr>
        <w:t>|------|-----------|---------------------|-------------|------|</w:t>
      </w:r>
    </w:p>
    <w:p>
      <w:pPr>
        <w:spacing w:line="360" w:lineRule="auto"/>
      </w:pPr>
      <w:r>
        <w:rPr>
          <w:rFonts w:ascii="Times New Roman" w:hAnsi="Times New Roman" w:eastAsia="宋体"/>
          <w:sz w:val="24"/>
          <w:szCs w:val="24"/>
        </w:rPr>
        <w:t>| B0 | 仅大模型 | False | False | 提示中图谱与参考资料均为关闭/空占位，考察纯参数记忆。 |</w:t>
      </w:r>
    </w:p>
    <w:p>
      <w:pPr>
        <w:spacing w:line="360" w:lineRule="auto"/>
      </w:pPr>
      <w:r>
        <w:rPr>
          <w:rFonts w:ascii="Times New Roman" w:hAnsi="Times New Roman" w:eastAsia="宋体"/>
          <w:sz w:val="24"/>
          <w:szCs w:val="24"/>
        </w:rPr>
        <w:t>| B1 | 仅图谱增强 | True | False | 有结构化事实与应急子图，无向量检索片段。 |</w:t>
      </w:r>
    </w:p>
    <w:p>
      <w:pPr>
        <w:spacing w:line="360" w:lineRule="auto"/>
      </w:pPr>
      <w:r>
        <w:rPr>
          <w:rFonts w:ascii="Times New Roman" w:hAnsi="Times New Roman" w:eastAsia="宋体"/>
          <w:sz w:val="24"/>
          <w:szCs w:val="24"/>
        </w:rPr>
        <w:t>| B2 | 仅 RAG 增强 | False | True | 有参考资料 Top-K，无图谱查询上下文。 |</w:t>
      </w:r>
    </w:p>
    <w:p>
      <w:pPr>
        <w:spacing w:line="360" w:lineRule="auto"/>
      </w:pPr>
      <w:r>
        <w:rPr>
          <w:rFonts w:ascii="Times New Roman" w:hAnsi="Times New Roman" w:eastAsia="宋体"/>
          <w:sz w:val="24"/>
          <w:szCs w:val="24"/>
        </w:rPr>
        <w:t>| B3 | 全协同（系统默认） | True | True | 图谱与 RAG 同时注入，对应完整方法。 |</w:t>
      </w:r>
    </w:p>
    <w:p>
      <w:pPr>
        <w:spacing w:line="360" w:lineRule="auto"/>
      </w:pPr>
      <w:r>
        <w:rPr>
          <w:rFonts w:ascii="Times New Roman" w:hAnsi="Times New Roman" w:eastAsia="宋体"/>
          <w:sz w:val="24"/>
          <w:szCs w:val="24"/>
        </w:rPr>
        <w:t>每类设置需</w:t>
      </w:r>
      <w:r>
        <w:rPr>
          <w:rFonts w:ascii="Times New Roman" w:hAnsi="Times New Roman" w:eastAsia="宋体"/>
          <w:sz w:val="24"/>
          <w:szCs w:val="24"/>
          <w:b/>
          <w:bCs/>
        </w:rPr>
        <w:t>重启服务或热改配置后重新加载</w:t>
      </w:r>
      <w:r>
        <w:rPr>
          <w:rFonts w:ascii="Times New Roman" w:hAnsi="Times New Roman" w:eastAsia="宋体"/>
          <w:sz w:val="24"/>
          <w:szCs w:val="24"/>
        </w:rPr>
        <w:t>（视实现而定），再在同一问题集上批量请求 `query_type: llm` 并保存回答。</w:t>
      </w:r>
    </w:p>
    <w:p>
      <w:pPr>
        <w:spacing w:line="360" w:lineRule="auto"/>
      </w:pPr>
      <w:r>
        <w:rPr>
          <w:rFonts w:ascii="Times New Roman" w:hAnsi="Times New Roman" w:eastAsia="黑体"/>
          <w:sz w:val="24"/>
          <w:szCs w:val="24"/>
          <w:b/>
          <w:bCs/>
        </w:rPr>
        <w:t>7.2.2 评测问题集构造与打分规则</w:t>
      </w:r>
    </w:p>
    <w:p>
      <w:pPr>
        <w:spacing w:line="360" w:lineRule="auto"/>
      </w:pPr>
      <w:r>
        <w:rPr>
          <w:rFonts w:ascii="Times New Roman" w:hAnsi="Times New Roman" w:eastAsia="宋体"/>
          <w:sz w:val="24"/>
          <w:szCs w:val="24"/>
          <w:b/>
          <w:bCs/>
        </w:rPr>
        <w:t>问题集构造建议</w:t>
      </w:r>
      <w:r>
        <w:rPr>
          <w:rFonts w:ascii="Times New Roman" w:hAnsi="Times New Roman" w:eastAsia="宋体"/>
          <w:sz w:val="24"/>
          <w:szCs w:val="24"/>
        </w:rPr>
        <w:t>：</w:t>
      </w:r>
    </w:p>
    <w:p>
      <w:pPr>
        <w:spacing w:line="360" w:lineRule="auto"/>
      </w:pPr>
      <w:r>
        <w:rPr>
          <w:rFonts w:ascii="Times New Roman" w:hAnsi="Times New Roman" w:eastAsia="宋体"/>
          <w:sz w:val="24"/>
          <w:szCs w:val="24"/>
        </w:rPr>
        <w:t xml:space="preserve">1. </w:t>
      </w:r>
      <w:r>
        <w:rPr>
          <w:rFonts w:ascii="Times New Roman" w:hAnsi="Times New Roman" w:eastAsia="宋体"/>
          <w:sz w:val="24"/>
          <w:szCs w:val="24"/>
          <w:b/>
          <w:bCs/>
        </w:rPr>
        <w:t>事实类</w:t>
      </w:r>
      <w:r>
        <w:rPr>
          <w:rFonts w:ascii="Times New Roman" w:hAnsi="Times New Roman" w:eastAsia="宋体"/>
          <w:sz w:val="24"/>
          <w:szCs w:val="24"/>
        </w:rPr>
        <w:t>：包含省名、震级比较等易触发图谱查询的问法，用于检验与目录一致性。</w:t>
      </w:r>
    </w:p>
    <w:p>
      <w:pPr>
        <w:spacing w:line="360" w:lineRule="auto"/>
      </w:pPr>
      <w:r>
        <w:rPr>
          <w:rFonts w:ascii="Times New Roman" w:hAnsi="Times New Roman" w:eastAsia="宋体"/>
          <w:sz w:val="24"/>
          <w:szCs w:val="24"/>
        </w:rPr>
        <w:t xml:space="preserve">2. </w:t>
      </w:r>
      <w:r>
        <w:rPr>
          <w:rFonts w:ascii="Times New Roman" w:hAnsi="Times New Roman" w:eastAsia="宋体"/>
          <w:sz w:val="24"/>
          <w:szCs w:val="24"/>
          <w:b/>
          <w:bCs/>
        </w:rPr>
        <w:t>规程类</w:t>
      </w:r>
      <w:r>
        <w:rPr>
          <w:rFonts w:ascii="Times New Roman" w:hAnsi="Times New Roman" w:eastAsia="宋体"/>
          <w:sz w:val="24"/>
          <w:szCs w:val="24"/>
        </w:rPr>
        <w:t>：避险、室内/室外等易触发应急子图或 RAG 的问法。</w:t>
      </w:r>
    </w:p>
    <w:p>
      <w:pPr>
        <w:spacing w:line="360" w:lineRule="auto"/>
      </w:pPr>
      <w:r>
        <w:rPr>
          <w:rFonts w:ascii="Times New Roman" w:hAnsi="Times New Roman" w:eastAsia="宋体"/>
          <w:sz w:val="24"/>
          <w:szCs w:val="24"/>
        </w:rPr>
        <w:t xml:space="preserve">3. </w:t>
      </w:r>
      <w:r>
        <w:rPr>
          <w:rFonts w:ascii="Times New Roman" w:hAnsi="Times New Roman" w:eastAsia="宋体"/>
          <w:sz w:val="24"/>
          <w:szCs w:val="24"/>
          <w:b/>
          <w:bCs/>
        </w:rPr>
        <w:t>混合类</w:t>
      </w:r>
      <w:r>
        <w:rPr>
          <w:rFonts w:ascii="Times New Roman" w:hAnsi="Times New Roman" w:eastAsia="宋体"/>
          <w:sz w:val="24"/>
          <w:szCs w:val="24"/>
        </w:rPr>
        <w:t>：既含地区又含「怎么办」等，检验协同是否优于单一路径。</w:t>
      </w:r>
    </w:p>
    <w:p>
      <w:pPr>
        <w:spacing w:line="360" w:lineRule="auto"/>
      </w:pPr>
      <w:r>
        <w:rPr>
          <w:rFonts w:ascii="Times New Roman" w:hAnsi="Times New Roman" w:eastAsia="宋体"/>
          <w:sz w:val="24"/>
          <w:szCs w:val="24"/>
        </w:rPr>
        <w:t xml:space="preserve">4. </w:t>
      </w:r>
      <w:r>
        <w:rPr>
          <w:rFonts w:ascii="Times New Roman" w:hAnsi="Times New Roman" w:eastAsia="宋体"/>
          <w:sz w:val="24"/>
          <w:szCs w:val="24"/>
          <w:b/>
          <w:bCs/>
        </w:rPr>
        <w:t>弱相关或开放类</w:t>
      </w:r>
      <w:r>
        <w:rPr>
          <w:rFonts w:ascii="Times New Roman" w:hAnsi="Times New Roman" w:eastAsia="宋体"/>
          <w:sz w:val="24"/>
          <w:szCs w:val="24"/>
        </w:rPr>
        <w:t>：本地库可能无命中，检验模型是否按规则声明「未命中」。</w:t>
      </w:r>
    </w:p>
    <w:p>
      <w:pPr>
        <w:spacing w:line="360" w:lineRule="auto"/>
      </w:pPr>
      <w:r>
        <w:rPr>
          <w:rFonts w:ascii="Times New Roman" w:hAnsi="Times New Roman" w:eastAsia="宋体"/>
          <w:sz w:val="24"/>
          <w:szCs w:val="24"/>
        </w:rPr>
        <w:t>题量可根据答辩要求设定（如 20～50 问），并保留</w:t>
      </w:r>
      <w:r>
        <w:rPr>
          <w:rFonts w:ascii="Times New Roman" w:hAnsi="Times New Roman" w:eastAsia="宋体"/>
          <w:sz w:val="24"/>
          <w:szCs w:val="24"/>
          <w:b/>
          <w:bCs/>
        </w:rPr>
        <w:t>标准核对要点</w:t>
      </w:r>
      <w:r>
        <w:rPr>
          <w:rFonts w:ascii="Times New Roman" w:hAnsi="Times New Roman" w:eastAsia="宋体"/>
          <w:sz w:val="24"/>
          <w:szCs w:val="24"/>
        </w:rPr>
        <w:t>（非必须逐字标准答案）：例如每条问题列出应从图谱中核对的关键字段或应覆盖的应急要点编号。</w:t>
      </w:r>
    </w:p>
    <w:p>
      <w:pPr>
        <w:spacing w:line="360" w:lineRule="auto"/>
      </w:pPr>
      <w:r>
        <w:rPr>
          <w:rFonts w:ascii="Times New Roman" w:hAnsi="Times New Roman" w:eastAsia="宋体"/>
          <w:sz w:val="24"/>
          <w:szCs w:val="24"/>
          <w:b/>
          <w:bCs/>
        </w:rPr>
        <w:t>打分规则</w:t>
      </w:r>
      <w:r>
        <w:rPr>
          <w:rFonts w:ascii="Times New Roman" w:hAnsi="Times New Roman" w:eastAsia="宋体"/>
          <w:sz w:val="24"/>
          <w:szCs w:val="24"/>
        </w:rPr>
        <w:t>：</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事实一致性</w:t>
      </w:r>
      <w:r>
        <w:rPr>
          <w:rFonts w:ascii="Times New Roman" w:hAnsi="Times New Roman" w:eastAsia="宋体"/>
          <w:sz w:val="24"/>
          <w:szCs w:val="24"/>
        </w:rPr>
        <w:t>（0/1 或 0/0.5/1）：回答中可验证事实是否与图谱或检索片段一致。</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要点完整性</w:t>
      </w:r>
      <w:r>
        <w:rPr>
          <w:rFonts w:ascii="Times New Roman" w:hAnsi="Times New Roman" w:eastAsia="宋体"/>
          <w:sz w:val="24"/>
          <w:szCs w:val="24"/>
        </w:rPr>
        <w:t>（Likert 1～5 或要点命中数/总数）。</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合规性</w:t>
      </w:r>
      <w:r>
        <w:rPr>
          <w:rFonts w:ascii="Times New Roman" w:hAnsi="Times New Roman" w:eastAsia="宋体"/>
          <w:sz w:val="24"/>
          <w:szCs w:val="24"/>
        </w:rPr>
        <w:t>（0/1）：是否违反系统提示中的格式约束。</w:t>
      </w:r>
    </w:p>
    <w:p>
      <w:pPr>
        <w:spacing w:line="360" w:lineRule="auto"/>
      </w:pPr>
      <w:r>
        <w:rPr>
          <w:rFonts w:ascii="Times New Roman" w:hAnsi="Times New Roman" w:eastAsia="宋体"/>
          <w:sz w:val="24"/>
          <w:szCs w:val="24"/>
        </w:rPr>
        <w:t>可由</w:t>
      </w:r>
      <w:r>
        <w:rPr>
          <w:rFonts w:ascii="Times New Roman" w:hAnsi="Times New Roman" w:eastAsia="宋体"/>
          <w:sz w:val="24"/>
          <w:szCs w:val="24"/>
          <w:b/>
          <w:bCs/>
        </w:rPr>
        <w:t>两名标注者</w:t>
      </w:r>
      <w:r>
        <w:rPr>
          <w:rFonts w:ascii="Times New Roman" w:hAnsi="Times New Roman" w:eastAsia="宋体"/>
          <w:sz w:val="24"/>
          <w:szCs w:val="24"/>
        </w:rPr>
        <w:t>独立打分后取平均或 Cohen’s kappa 报告一致性；单人研究则需说明局限。</w:t>
      </w:r>
    </w:p>
    <w:p>
      <w:pPr>
        <w:spacing w:line="360" w:lineRule="auto"/>
      </w:pPr>
      <w:r>
        <w:rPr>
          <w:rFonts w:ascii="Times New Roman" w:hAnsi="Times New Roman" w:eastAsia="黑体"/>
          <w:sz w:val="28"/>
          <w:szCs w:val="28"/>
          <w:b/>
          <w:bCs/>
        </w:rPr>
        <w:t>7.3 实验结果与案例分析</w:t>
      </w:r>
    </w:p>
    <w:p>
      <w:pPr>
        <w:spacing w:line="360" w:lineRule="auto"/>
      </w:pPr>
      <w:r>
        <w:rPr>
          <w:rFonts w:ascii="Times New Roman" w:hAnsi="Times New Roman" w:eastAsia="黑体"/>
          <w:sz w:val="24"/>
          <w:szCs w:val="24"/>
          <w:b/>
          <w:bCs/>
        </w:rPr>
        <w:t>7.3.1 定量对比（表格）</w:t>
      </w:r>
    </w:p>
    <w:p>
      <w:pPr>
        <w:spacing w:line="360" w:lineRule="auto"/>
      </w:pPr>
      <w:r>
        <w:rPr>
          <w:rFonts w:ascii="Times New Roman" w:hAnsi="Times New Roman" w:eastAsia="宋体"/>
          <w:sz w:val="24"/>
          <w:szCs w:val="24"/>
        </w:rPr>
        <w:t>表 7-1 为结果记录模板（请将「—」替换为实测均值或百分比）。</w:t>
      </w:r>
    </w:p>
    <w:p>
      <w:pPr>
        <w:spacing w:line="360" w:lineRule="auto"/>
      </w:pPr>
      <w:r>
        <w:rPr>
          <w:rFonts w:ascii="Times New Roman" w:hAnsi="Times New Roman" w:eastAsia="宋体"/>
          <w:sz w:val="24"/>
          <w:szCs w:val="24"/>
          <w:b/>
          <w:bCs/>
        </w:rPr>
        <w:t xml:space="preserve">表 7-1  不同基线在测试集上的平均表现（示例）</w:t>
      </w:r>
    </w:p>
    <w:p>
      <w:pPr>
        <w:spacing w:line="360" w:lineRule="auto"/>
      </w:pPr>
      <w:r>
        <w:rPr>
          <w:rFonts w:ascii="Times New Roman" w:hAnsi="Times New Roman" w:eastAsia="宋体"/>
          <w:sz w:val="24"/>
          <w:szCs w:val="24"/>
        </w:rPr>
        <w:t>| 基线 | 事实一致性准确率 | 要点完整性（均分） | 格式合规率 |</w:t>
      </w:r>
    </w:p>
    <w:p>
      <w:pPr>
        <w:spacing w:line="360" w:lineRule="auto"/>
      </w:pPr>
      <w:r>
        <w:rPr>
          <w:rFonts w:ascii="Times New Roman" w:hAnsi="Times New Roman" w:eastAsia="宋体"/>
          <w:sz w:val="24"/>
          <w:szCs w:val="24"/>
        </w:rPr>
        <w:t>|------|------------------|-------------------|------------|</w:t>
      </w:r>
    </w:p>
    <w:p>
      <w:pPr>
        <w:spacing w:line="360" w:lineRule="auto"/>
      </w:pPr>
      <w:r>
        <w:rPr>
          <w:rFonts w:ascii="Times New Roman" w:hAnsi="Times New Roman" w:eastAsia="宋体"/>
          <w:sz w:val="24"/>
          <w:szCs w:val="24"/>
        </w:rPr>
        <w:t>| B0 仅 LLM | — | — | — |</w:t>
      </w:r>
    </w:p>
    <w:p>
      <w:pPr>
        <w:spacing w:line="360" w:lineRule="auto"/>
      </w:pPr>
      <w:r>
        <w:rPr>
          <w:rFonts w:ascii="Times New Roman" w:hAnsi="Times New Roman" w:eastAsia="宋体"/>
          <w:sz w:val="24"/>
          <w:szCs w:val="24"/>
        </w:rPr>
        <w:t>| B1 仅图谱 | — | — | — |</w:t>
      </w:r>
    </w:p>
    <w:p>
      <w:pPr>
        <w:spacing w:line="360" w:lineRule="auto"/>
      </w:pPr>
      <w:r>
        <w:rPr>
          <w:rFonts w:ascii="Times New Roman" w:hAnsi="Times New Roman" w:eastAsia="宋体"/>
          <w:sz w:val="24"/>
          <w:szCs w:val="24"/>
        </w:rPr>
        <w:t>| B2 仅 RAG | — | — | — |</w:t>
      </w:r>
    </w:p>
    <w:p>
      <w:pPr>
        <w:spacing w:line="360" w:lineRule="auto"/>
      </w:pPr>
      <w:r>
        <w:rPr>
          <w:rFonts w:ascii="Times New Roman" w:hAnsi="Times New Roman" w:eastAsia="宋体"/>
          <w:sz w:val="24"/>
          <w:szCs w:val="24"/>
        </w:rPr>
        <w:t>| B3 全协同 | — | — | — |</w:t>
      </w:r>
    </w:p>
    <w:p>
      <w:pPr>
        <w:spacing w:line="360" w:lineRule="auto"/>
      </w:pPr>
      <w:r>
        <w:rPr>
          <w:rFonts w:ascii="Times New Roman" w:hAnsi="Times New Roman" w:eastAsia="宋体"/>
          <w:sz w:val="24"/>
          <w:szCs w:val="24"/>
        </w:rPr>
        <w:t>若有细分题型（事实 / 规程 / 混合），可增加子表或按题型分列。自动指标（如 ROUGE）若计算，可附于表注，并说明</w:t>
      </w:r>
      <w:r>
        <w:rPr>
          <w:rFonts w:ascii="Times New Roman" w:hAnsi="Times New Roman" w:eastAsia="宋体"/>
          <w:sz w:val="24"/>
          <w:szCs w:val="24"/>
          <w:b/>
          <w:bCs/>
        </w:rPr>
        <w:t>仅作辅助</w:t>
      </w:r>
      <w:r>
        <w:rPr>
          <w:rFonts w:ascii="Times New Roman" w:hAnsi="Times New Roman" w:eastAsia="宋体"/>
          <w:sz w:val="24"/>
          <w:szCs w:val="24"/>
        </w:rPr>
        <w:t>。</w:t>
      </w:r>
    </w:p>
    <w:p>
      <w:pPr>
        <w:spacing w:line="360" w:lineRule="auto"/>
      </w:pPr>
      <w:r>
        <w:rPr>
          <w:rFonts w:ascii="Times New Roman" w:hAnsi="Times New Roman" w:eastAsia="宋体"/>
          <w:sz w:val="24"/>
          <w:szCs w:val="24"/>
          <w:b/>
          <w:bCs/>
        </w:rPr>
        <w:t>简要分析</w:t>
      </w:r>
      <w:r>
        <w:rPr>
          <w:rFonts w:ascii="Times New Roman" w:hAnsi="Times New Roman" w:eastAsia="宋体"/>
          <w:sz w:val="24"/>
          <w:szCs w:val="24"/>
        </w:rPr>
        <w:t>：预期在</w:t>
      </w:r>
      <w:r>
        <w:rPr>
          <w:rFonts w:ascii="Times New Roman" w:hAnsi="Times New Roman" w:eastAsia="宋体"/>
          <w:sz w:val="24"/>
          <w:szCs w:val="24"/>
          <w:b/>
          <w:bCs/>
        </w:rPr>
        <w:t>混合题</w:t>
      </w:r>
      <w:r>
        <w:rPr>
          <w:rFonts w:ascii="Times New Roman" w:hAnsi="Times New Roman" w:eastAsia="宋体"/>
          <w:sz w:val="24"/>
          <w:szCs w:val="24"/>
        </w:rPr>
        <w:t>上 B3 相对 B0、B1、B2 的综合优势；在</w:t>
      </w:r>
      <w:r>
        <w:rPr>
          <w:rFonts w:ascii="Times New Roman" w:hAnsi="Times New Roman" w:eastAsia="宋体"/>
          <w:sz w:val="24"/>
          <w:szCs w:val="24"/>
          <w:b/>
          <w:bCs/>
        </w:rPr>
        <w:t>纯列表式震情题</w:t>
      </w:r>
      <w:r>
        <w:rPr>
          <w:rFonts w:ascii="Times New Roman" w:hAnsi="Times New Roman" w:eastAsia="宋体"/>
          <w:sz w:val="24"/>
          <w:szCs w:val="24"/>
        </w:rPr>
        <w:t>上 B1 与 B3 可能接近；在</w:t>
      </w:r>
      <w:r>
        <w:rPr>
          <w:rFonts w:ascii="Times New Roman" w:hAnsi="Times New Roman" w:eastAsia="宋体"/>
          <w:sz w:val="24"/>
          <w:szCs w:val="24"/>
          <w:b/>
          <w:bCs/>
        </w:rPr>
        <w:t>纯条文表述题</w:t>
      </w:r>
      <w:r>
        <w:rPr>
          <w:rFonts w:ascii="Times New Roman" w:hAnsi="Times New Roman" w:eastAsia="宋体"/>
          <w:sz w:val="24"/>
          <w:szCs w:val="24"/>
        </w:rPr>
        <w:t>上 B2 与 B3 可能接近。实际结论以填写数据为准。</w:t>
      </w:r>
    </w:p>
    <w:p>
      <w:pPr>
        <w:spacing w:line="360" w:lineRule="auto"/>
      </w:pPr>
      <w:r>
        <w:rPr>
          <w:rFonts w:ascii="Times New Roman" w:hAnsi="Times New Roman" w:eastAsia="黑体"/>
          <w:sz w:val="24"/>
          <w:szCs w:val="24"/>
          <w:b/>
          <w:bCs/>
        </w:rPr>
        <w:t>7.3.2 典型案例与失败样例讨论</w:t>
      </w:r>
    </w:p>
    <w:p>
      <w:pPr>
        <w:spacing w:line="360" w:lineRule="auto"/>
      </w:pPr>
      <w:r>
        <w:rPr>
          <w:rFonts w:ascii="Times New Roman" w:hAnsi="Times New Roman" w:eastAsia="宋体"/>
          <w:sz w:val="24"/>
          <w:szCs w:val="24"/>
          <w:b/>
          <w:bCs/>
        </w:rPr>
        <w:t>典型案例（建议 2～3 个）</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协同有效</w:t>
      </w:r>
      <w:r>
        <w:rPr>
          <w:rFonts w:ascii="Times New Roman" w:hAnsi="Times New Roman" w:eastAsia="宋体"/>
          <w:sz w:val="24"/>
          <w:szCs w:val="24"/>
        </w:rPr>
        <w:t>：展示用户问题、B0/B3 回答对比、图谱与 RAG 命中摘要，说明全协同如何同时利用结构化事实与检索表述。</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图谱主导</w:t>
      </w:r>
      <w:r>
        <w:rPr>
          <w:rFonts w:ascii="Times New Roman" w:hAnsi="Times New Roman" w:eastAsia="宋体"/>
          <w:sz w:val="24"/>
          <w:szCs w:val="24"/>
        </w:rPr>
        <w:t>：某省近期地震类问题，说明 B1/B3 如何利用 `location CONTAINS` 结果约束数值。</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RAG 补充</w:t>
      </w:r>
      <w:r>
        <w:rPr>
          <w:rFonts w:ascii="Times New Roman" w:hAnsi="Times New Roman" w:eastAsia="宋体"/>
          <w:sz w:val="24"/>
          <w:szCs w:val="24"/>
        </w:rPr>
        <w:t>：规程类问题在图谱步骤与检索片段上的互补。</w:t>
      </w:r>
    </w:p>
    <w:p>
      <w:pPr>
        <w:spacing w:line="360" w:lineRule="auto"/>
      </w:pPr>
      <w:r>
        <w:rPr>
          <w:rFonts w:ascii="Times New Roman" w:hAnsi="Times New Roman" w:eastAsia="宋体"/>
          <w:sz w:val="24"/>
          <w:szCs w:val="24"/>
          <w:b/>
          <w:bCs/>
        </w:rPr>
        <w:t>失败或边界样例（1～2 个）</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触发规则未命中</w:t>
      </w:r>
      <w:r>
        <w:rPr>
          <w:rFonts w:ascii="Times New Roman" w:hAnsi="Times New Roman" w:eastAsia="宋体"/>
          <w:sz w:val="24"/>
          <w:szCs w:val="24"/>
        </w:rPr>
        <w:t>：问法未包含省名或触发词，导致图谱为空，仅依赖 RAG 或参数知识。</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截断或复读</w:t>
      </w:r>
      <w:r>
        <w:rPr>
          <w:rFonts w:ascii="Times New Roman" w:hAnsi="Times New Roman" w:eastAsia="宋体"/>
          <w:sz w:val="24"/>
          <w:szCs w:val="24"/>
        </w:rPr>
        <w:t>：极长上下文下左侧截断导致信息丢失，或解码复读；可对应调整 `LLM_INPUT_MAX_TOKENS`、`repetition_penalty` 的讨论。</w:t>
      </w:r>
    </w:p>
    <w:p>
      <w:pPr>
        <w:spacing w:line="360" w:lineRule="auto"/>
      </w:pPr>
      <w:r>
        <w:rPr>
          <w:rFonts w:ascii="Times New Roman" w:hAnsi="Times New Roman" w:eastAsia="宋体"/>
          <w:sz w:val="24"/>
          <w:szCs w:val="24"/>
        </w:rPr>
        <w:t xml:space="preserve">- </w:t>
      </w:r>
      <w:r>
        <w:rPr>
          <w:rFonts w:ascii="Times New Roman" w:hAnsi="Times New Roman" w:eastAsia="宋体"/>
          <w:sz w:val="24"/>
          <w:szCs w:val="24"/>
          <w:b/>
          <w:bCs/>
        </w:rPr>
        <w:t>幻觉仍未消除</w:t>
      </w:r>
      <w:r>
        <w:rPr>
          <w:rFonts w:ascii="Times New Roman" w:hAnsi="Times New Roman" w:eastAsia="宋体"/>
          <w:sz w:val="24"/>
          <w:szCs w:val="24"/>
        </w:rPr>
        <w:t>：即使 B3，在库外事实上仍错误——强调方法为</w:t>
      </w:r>
      <w:r>
        <w:rPr>
          <w:rFonts w:ascii="Times New Roman" w:hAnsi="Times New Roman" w:eastAsia="宋体"/>
          <w:sz w:val="24"/>
          <w:szCs w:val="24"/>
          <w:b/>
          <w:bCs/>
        </w:rPr>
        <w:t>减轻</w:t>
      </w:r>
      <w:r>
        <w:rPr>
          <w:rFonts w:ascii="Times New Roman" w:hAnsi="Times New Roman" w:eastAsia="宋体"/>
          <w:sz w:val="24"/>
          <w:szCs w:val="24"/>
        </w:rPr>
        <w:t>而非绝对消除幻觉。</w:t>
      </w:r>
    </w:p>
    <w:p>
      <w:pPr>
        <w:spacing w:line="360" w:lineRule="auto"/>
      </w:pPr>
      <w:r>
        <w:rPr>
          <w:rFonts w:ascii="Times New Roman" w:hAnsi="Times New Roman" w:eastAsia="黑体"/>
          <w:sz w:val="28"/>
          <w:szCs w:val="28"/>
          <w:b/>
          <w:bCs/>
        </w:rPr>
        <w:t>本章小结</w:t>
      </w:r>
    </w:p>
    <w:p>
      <w:pPr>
        <w:spacing w:line="360" w:lineRule="auto"/>
      </w:pPr>
      <w:r>
        <w:rPr>
          <w:rFonts w:ascii="Times New Roman" w:hAnsi="Times New Roman" w:eastAsia="宋体"/>
          <w:sz w:val="24"/>
          <w:szCs w:val="24"/>
        </w:rPr>
        <w:t>本章给出了实验环境、数据规模统计、四类基线定义及人工评测流程，提供了定量结果表模板与案例分析框架。定稿时请将占位数据替换为真实实验记录，并与第 3 章评价指标、第 6 章配置项保持一致。第 8 章将对全文进行总结与展望。</w:t>
      </w:r>
    </w:p>
    <w:sectPr>
      <w:pgSz w:w="11906" w:h="16838"/>
      <w:pgMar w:top="1440" w:right="1440" w:bottom="1440" w:left="1440"/>
    </w:sectPr>
  </w:body>
</w:document>
</file>

<file path=word/_rels/document.xml.rels><?xml version="1.0" encoding="UTF-8" standalone="yes"?>
<Relationships xmlns="http://schemas.openxmlformats.org/package/2006/relationships"/>

</file>