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日本游戏客服智能化项目对话记录</w:t>
      </w:r>
    </w:p>
    <w:p>
      <w:pPr>
        <w:spacing w:after="280"/>
      </w:pPr>
      <w:r>
        <w:rPr>
          <w:rFonts w:ascii="Aptos" w:hAnsi="Aptos" w:eastAsia="Microsoft YaHei"/>
          <w:b w:val="0"/>
          <w:color w:val="555555"/>
          <w:sz w:val="21"/>
        </w:rPr>
        <w:t>记录范围：从项目初始化到黄金测试集自动运行方案确定的对话内容。当前创建文档的请求未纳入本记录。</w:t>
      </w:r>
    </w:p>
    <w:p>
      <w:pPr>
        <w:pStyle w:val="Heading1"/>
      </w:pPr>
      <w:r>
        <w:t>对话内容</w:t>
      </w: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1.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帮我把当前项目初始化为一个Git仓库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2.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已将当前项目初始化为 Git 仓库，并建立了后续可追踪提交的基础。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3.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创建一个AGENTS.md,写入下面这些内容，最后提交一个commit：</w:t>
            </w:r>
            <w:r>
              <w:br/>
            </w: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#注意事项：</w:t>
            </w:r>
            <w:r>
              <w:br/>
            </w: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1.每次改动完成后，都必须创建一个对应的Git commit，以便后续追踪和回滚。</w:t>
            </w:r>
            <w:r>
              <w:br/>
            </w: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2.每次改动后，都必须编写或更新相关测试，并在交付给用户前，确保所有测试和验证全部通过。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4.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已创建 AGENTS.md，写入 Git 提交和测试要求，并完成对应 commit。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5.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现在有一款游戏在日本发行，现在需要调用中国的客服，来实施客服的相关工作。我有一份脱敏数据，其中的主要内容包含客户来信和客服回复的对话线程，我将使用这份数据作为我的一个小型知识库，任务核心目标：解决语言障碍和风俗差异，基于测试知识库实现最大化的回复自动化、精准和迭代。请帮我梳理这个项目的核心难点，并给出一个模块化的任务拆解方案（并标明每个模块你将用什么技术点来做）。不要写代码，只做架构层面的思考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6.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围绕中日语言转换、客服风俗差异、知识库质量、检索增强生成、风险控制、人工审核、记忆体系、安全边界和持续评估进行了架构拆解，并将系统划分为数据处理、向量检索、重排、模型编排、风险判断、记忆、服务接口、前端和评测等模块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7.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这个是脱敏数据的具体文件，你觉得应该用什么样的模型进行向量化。或者你讲讲在哪些地方需要用到模型（需要考虑成本的前提下），以及这些模型的具体选择。因为检索链路比较明确，所以我觉得采用LangChain作为开发框架，您说说你的看法？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8.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建议将向量化、重排、翻译与回复生成拆开选择模型：向量化使用多语言 embedding，重排使用 BGE-Reranker，生成与判断使用成本可控的 Qwen Flash。LangChain 可以作为编排框架，但应保持检索、记忆、规则和模型适配层解耦，避免把业务规则全部隐藏在链路配置中。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9.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我看了你的建议，我将字段提取使用规则，关键字以及实体提取使用规则，重排采用BGE-Reranker，由于成本限制，我将“中文处理建议、日语客服回复、风险判断（规则引擎+分类模型）、回复质量检查”都使用用qwen3.8-flash，并不做最终复杂案例判断这一环。然后我看了你的设计，我发现你在记忆（多轮对话、用户记忆等）这方面并没有提及，请你说说你想怎么做，怎么设计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10.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建议采用分层记忆：窗口记忆保存当前对话上下文，摘要记忆保存线程级结论，长期记忆保存可检索的稳定事实，用户画像保存经过审核的偏好和风险信息。记忆写入必须经过清洗、去重、权限隔离和风险过滤，模型失败时不应写入错误摘要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11.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向量数据库你是怎么选择的，我想看看你的想法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12.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从成本、部署复杂度、数据规模和后续扩展看，优先考虑 ChromaDB 作为小型知识库的起步方案；如果规模、并发、权限和运维需求提升，再考虑 Qdrant、Milvus 或云向量服务。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13.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Chromdb可以吗，根据不同类型创建不同的集合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14.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可以。建议按 support_cases、policies、terminology 等知识类型创建不同集合，并通过 metadata 保留语言、平台、版本、意图和来源信息。检索时可按场景选择集合或组合召回，避免术语、政策和历史回复相互污染。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15.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根据你的建议和我的个人想法，我决定采用四层记忆架构：窗口记忆（Redis）、摘要记忆（PostgreSQL），长期记忆（Chromadb），用户画像（PostgreSQL）。你再说说关于整个项目的安全边界和可靠性你将如何去做？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16.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安全边界包括脱敏和最小化采集、租户与线程隔离、API Key 保护、提示词注入防护、敏感操作禁止自动执行、模型输出校验、人工审核、高风险升级、日志脱敏、记忆写入审计和故障降级。可靠性方面需要为外部模型超时、限流、非法 JSON、检索为空、向量库不可用、SSE 断连和数据库写入失败设计明确的安全默认行为。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17.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同意你的做法，现在请你结合我们的交流，生成一份完整的项目设计书到项目根目录中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18.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已结合前面的模型选型、知识库、四层记忆、安全边界、风险控制和评测方案，生成项目设计书并保存到项目根目录。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19.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现在请你根据项目设计书，完成项目的开发（包括安装依赖，Chromadb的创建以及模型的下载等），可以调用 Qwen3.7-Flash API，base_url 使用 https://dashscope.aliyuncs.com/compatible-mode/v1，model 使用 qwen3.7-flash，通过环境变量 DASHSCOPE_API_KEY 读取密钥，要求前后端分离，前端使用Vue3，写项目的时候要求具有清晰的文件分层处理（而不是所有代码都混杂在一个文件当中），至于文件命名以及一些变量的命名要求清晰易懂符合场景，对于一些项目关键点的地方你可以向我发出提问，让我进行选择、建议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20.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完成了 FastAPI 后端、Vue3 前端、ChromaDB 知识库、Qwen Embedding、BGE-Reranker、DashScope 模型服务、SQLite 摘要保存、知识库导入和基础测试骨架。模型与索引采用本地缓存，API Key 从 DASHSCOPE_API_KEY 读取，项目保持前后端分离和清晰分层。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21.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将输出采用SSE流式输出，并对前端页面进行渲染，让页面整体风格偏向二次元风格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22.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已新增 POST /api/tickets/analyze/stream SSE 接口，推送接收、检索、生成、校验、结果和完成事件；前端改为实时消费 SSE，并加入粉紫渐变、角色徽章、魔法进度条和二次元工作台风格。后端测试 5 项通过，前端构建通过，提交为 dc901ca。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23.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请按业务重要性列出，我当前后端有哪些功能必须重点测试，哪些可以暂时不测，请逐个说明这个功能一旦出错，会造成什么后果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24.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按 P0、P1、P2 排列了测试优先级。P0 包括回复生成、风险判断、知识检索、SSE、外部模型异常、输入安全和记忆写入；P1 包括知识库导入、集合隔离、持久化、基础接口和 CORS；P2 包括视觉样式、动画、装饰文案和非核心展示细节。每项同时说明了测试重点及出错后可能导致的客服错误、数据污染、服务不可用、费用损失或安全风险。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25.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现在进入测试阶段。在运行任何测试之前，需要先构建一个‘黄金测试集’。请基于 脱敏数据2026.2.10.xlsx 执行以下操作：采样策略：从原始数据中分层抽样50-100条记录，确保能覆盖：回复生成 → 风险判断 → 知识检索 → SSE 可用性 → 外部模型异常 → 输入安全 → 记忆写入 → 知识库导入 → 基础接口，测试集文件不要写入代码中，而是另起文件到我的根目录中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26.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基于脱敏数据完成了固定随机种子的分层抽样，生成 90 条黄金测试记录，并增加覆盖矩阵和抽样说明。测试集包含回复生成、风险判断、知识检索、SSE、模型异常、输入安全、记忆写入、知识库导入和基础接口等维度，同时补充了空内容、字段缺失、超长输入和多消息线程边界样本。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5B3A82"/>
          <w:sz w:val="24"/>
        </w:rPr>
        <w:t>27. 用户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7F3FB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请把‘黄金测试集’做成一个可以用一条命令自动运行的方式，并告诉我这条命令是什么，跑完之后我怎么看结果，是通过还是失败，以后每次新增或修改功能都要重新运行全部测试，把失败和通过的结果发给我，测试另起文档，不要混入项目代码中</w:t>
            </w:r>
          </w:p>
        </w:tc>
      </w:tr>
    </w:tbl>
    <w:p>
      <w:pPr>
        <w:spacing w:after="20"/>
      </w:pPr>
    </w:p>
    <w:p>
      <w:pPr>
        <w:pStyle w:val="Heading2"/>
        <w:spacing w:before="240" w:after="100"/>
      </w:pPr>
      <w:r>
        <w:rPr>
          <w:rFonts w:ascii="Aptos" w:hAnsi="Aptos" w:eastAsia="Microsoft YaHei"/>
          <w:b/>
          <w:color w:val="2F6B75"/>
          <w:sz w:val="24"/>
        </w:rPr>
        <w:t>28. 助手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8F8"/>
          </w:tcPr>
          <w:p>
            <w:pPr>
              <w:spacing w:after="0" w:line="276" w:lineRule="auto"/>
            </w:pPr>
            <w:r>
              <w:rPr>
                <w:rFonts w:ascii="Aptos" w:hAnsi="Aptos" w:eastAsia="Microsoft YaHei"/>
                <w:b w:val="0"/>
                <w:color w:val="333333"/>
                <w:sz w:val="20"/>
              </w:rPr>
              <w:t>已建立独立的 golden_tests 测试目录和测试说明文档，提供一条命令执行黄金测试集契约校验、后端全部测试和前端生产构建。命令是 .venv\Scripts\python.exe golden_tests\run_all.py。通过时输出总体结果：通过且退出码为 0，失败时输出总体结果：失败且退出码为 1，详细报告写入 golden_tests/reports/latest_report.md。默认不调用真实 Qwen API，避免每次回归产生模型费用。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77777"/>
        <w:sz w:val="16"/>
      </w:rPr>
      <w:t>日本游戏客服智能化项目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日本游戏客服智能化项目对话记录</dc:title>
  <dc:subject>项目对话归档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