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：一种基于分层语义净化与特征诱导对齐的鲁棒异构图节点分类方法</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姓名：刘颖</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本次围绕“异构图节点分类、异构图对比学习、图结构攻击防御、元路径语义建模”进行公开资料检索。与本发明最接近的技术可归为以下三类。</w:t>
      </w:r>
    </w:p>
    <w:p>
      <w:pPr>
        <w:pStyle w:val="Heading4"/>
      </w:pPr>
      <w:r>
        <w:rPr>
          <w:rFonts w:ascii="宋体" w:hAnsi="宋体" w:eastAsia="宋体"/>
        </w:rPr>
        <w:t>（1）异构图多视图对比学习技术</w:t>
      </w:r>
    </w:p>
    <w:p>
      <w:pPr>
        <w:spacing w:after="120" w:line="276" w:lineRule="auto"/>
      </w:pPr>
      <w:r>
        <w:rPr>
          <w:rFonts w:ascii="宋体" w:hAnsi="宋体" w:eastAsia="宋体"/>
          <w:sz w:val="21"/>
        </w:rPr>
        <w:t>公开专利 CN114020928B 提出在新闻、用户和主题构成的异构图上，依据元路径构造原始图及随机变换图，再通过两个图神经网络进行对比学习，用于虚假新闻识别。该方案说明异构图可通过多视图表征与对比目标学习节点表示，但其视图主要由随机变换获得，未针对结构攻击中被篡改边的可信度进行逐元路径净化，也未提供独立于受攻击拓扑的稳定参考视图。</w:t>
      </w:r>
    </w:p>
    <w:p>
      <w:pPr>
        <w:spacing w:after="120" w:line="276" w:lineRule="auto"/>
      </w:pPr>
      <w:r>
        <w:rPr>
          <w:rFonts w:ascii="宋体" w:hAnsi="宋体" w:eastAsia="宋体"/>
          <w:b/>
          <w:sz w:val="21"/>
        </w:rPr>
        <w:t>来源链接</w:t>
      </w:r>
      <w:r>
        <w:rPr>
          <w:rFonts w:ascii="宋体" w:hAnsi="宋体" w:eastAsia="宋体"/>
          <w:sz w:val="21"/>
        </w:rPr>
        <w:t>：https://patents.google.com/patent/CN114020928B/en</w:t>
      </w:r>
    </w:p>
    <w:p>
      <w:pPr>
        <w:spacing w:after="120" w:line="276" w:lineRule="auto"/>
      </w:pPr>
      <w:r>
        <w:rPr>
          <w:rFonts w:ascii="宋体" w:hAnsi="宋体" w:eastAsia="宋体"/>
          <w:sz w:val="21"/>
        </w:rPr>
        <w:t>公开专利 CN120544693A 在关联预测任务中利用异构图拓扑信息和语义信息构造多个视图，并结合图卷积与对比损失学习表示。该方案表明基于特征相似度构造语义图是可行的，但其公开文本面向特定关联预测场景，未给出“候选边置信度筛选、元路径语义聚合后的全局再筛选、再与结构无关视图对齐”的协同链路。</w:t>
      </w:r>
    </w:p>
    <w:p>
      <w:pPr>
        <w:spacing w:after="120" w:line="276" w:lineRule="auto"/>
      </w:pPr>
      <w:r>
        <w:rPr>
          <w:rFonts w:ascii="宋体" w:hAnsi="宋体" w:eastAsia="宋体"/>
          <w:b/>
          <w:sz w:val="21"/>
        </w:rPr>
        <w:t>来源链接</w:t>
      </w:r>
      <w:r>
        <w:rPr>
          <w:rFonts w:ascii="宋体" w:hAnsi="宋体" w:eastAsia="宋体"/>
          <w:sz w:val="21"/>
        </w:rPr>
        <w:t>：https://patents.google.com/patent/CN120544693A/zh</w:t>
      </w:r>
    </w:p>
    <w:p>
      <w:pPr>
        <w:pStyle w:val="Heading4"/>
      </w:pPr>
      <w:r>
        <w:rPr>
          <w:rFonts w:ascii="宋体" w:hAnsi="宋体" w:eastAsia="宋体"/>
        </w:rPr>
        <w:t>（2）元路径采样或语义建模的异构图表示学习技术</w:t>
      </w:r>
    </w:p>
    <w:p>
      <w:pPr>
        <w:spacing w:after="120" w:line="276" w:lineRule="auto"/>
      </w:pPr>
      <w:r>
        <w:rPr>
          <w:rFonts w:ascii="宋体" w:hAnsi="宋体" w:eastAsia="宋体"/>
          <w:sz w:val="21"/>
        </w:rPr>
        <w:t>公开专利 CN117999559A 使用元路径邻居采样生成正负样本，并利用对比学习训练图神经网络，用于异常检测。该方案重视元路径邻居在异构网络中的语义作用，但其重点是样本采样与无监督表示训练，不涉及在结构扰动条件下对候选连接进行两阶段可信度净化。</w:t>
      </w:r>
    </w:p>
    <w:p>
      <w:pPr>
        <w:spacing w:after="120" w:line="276" w:lineRule="auto"/>
      </w:pPr>
      <w:r>
        <w:rPr>
          <w:rFonts w:ascii="宋体" w:hAnsi="宋体" w:eastAsia="宋体"/>
          <w:b/>
          <w:sz w:val="21"/>
        </w:rPr>
        <w:t>来源链接</w:t>
      </w:r>
      <w:r>
        <w:rPr>
          <w:rFonts w:ascii="宋体" w:hAnsi="宋体" w:eastAsia="宋体"/>
          <w:sz w:val="21"/>
        </w:rPr>
        <w:t>：https://patents.google.com/patent/CN117999559A/zh</w:t>
      </w:r>
    </w:p>
    <w:p>
      <w:pPr>
        <w:spacing w:after="120" w:line="276" w:lineRule="auto"/>
      </w:pPr>
      <w:r>
        <w:rPr>
          <w:rFonts w:ascii="宋体" w:hAnsi="宋体" w:eastAsia="宋体"/>
          <w:sz w:val="21"/>
        </w:rPr>
        <w:t>公开专利 CN114611587A 将多种元路径嵌入视为不同视图，通过对比学习实现异构知识图谱表示对齐。该方案可用于说明多元路径视图对比学习已有基础，但未以结构鲁棒性为目标构造由原始节点属性诱导的参考连接视图。</w:t>
      </w:r>
    </w:p>
    <w:p>
      <w:pPr>
        <w:spacing w:after="120" w:line="276" w:lineRule="auto"/>
      </w:pPr>
      <w:r>
        <w:rPr>
          <w:rFonts w:ascii="宋体" w:hAnsi="宋体" w:eastAsia="宋体"/>
          <w:b/>
          <w:sz w:val="21"/>
        </w:rPr>
        <w:t>来源链接</w:t>
      </w:r>
      <w:r>
        <w:rPr>
          <w:rFonts w:ascii="宋体" w:hAnsi="宋体" w:eastAsia="宋体"/>
          <w:sz w:val="21"/>
        </w:rPr>
        <w:t>：https://patents.google.com/patent/CN114611587A/zh</w:t>
      </w:r>
    </w:p>
    <w:p>
      <w:pPr>
        <w:pStyle w:val="Heading4"/>
      </w:pPr>
      <w:r>
        <w:rPr>
          <w:rFonts w:ascii="宋体" w:hAnsi="宋体" w:eastAsia="宋体"/>
        </w:rPr>
        <w:t>（3）对抗结构扰动下的异构图鲁棒学习技术</w:t>
      </w:r>
    </w:p>
    <w:p>
      <w:pPr>
        <w:spacing w:after="120" w:line="276" w:lineRule="auto"/>
      </w:pPr>
      <w:r>
        <w:rPr>
          <w:rFonts w:ascii="宋体" w:hAnsi="宋体" w:eastAsia="宋体"/>
          <w:sz w:val="21"/>
        </w:rPr>
        <w:t>RoHe 文献针对异构图对抗攻击，采用注意力净化器压制由拓扑和特征异常造成的恶意邻居影响，表明异构图的邻居净化是已知研究方向。其公开技术重心是对观测图邻域进行注意力式净化；从公开论文内容看，未采用按元路径分别计算属性一致性、先局部筛选再基于语义权重作全局筛选的层次净化结构，也未把由原始特征直接诱导的 K 近邻图作为与受攻击拓扑相对独立的对照视图，并利用节点同一性实施对称跨视图对齐。</w:t>
      </w:r>
    </w:p>
    <w:p>
      <w:pPr>
        <w:spacing w:after="120" w:line="276" w:lineRule="auto"/>
      </w:pPr>
      <w:r>
        <w:rPr>
          <w:rFonts w:ascii="宋体" w:hAnsi="宋体" w:eastAsia="宋体"/>
          <w:b/>
          <w:sz w:val="21"/>
        </w:rPr>
        <w:t>来源链接</w:t>
      </w:r>
      <w:r>
        <w:rPr>
          <w:rFonts w:ascii="宋体" w:hAnsi="宋体" w:eastAsia="宋体"/>
          <w:sz w:val="21"/>
        </w:rPr>
        <w:t>：https://ojs.aaai.org/index.php/AAAI/article/view/20357</w:t>
      </w:r>
    </w:p>
    <w:p>
      <w:pPr>
        <w:pStyle w:val="Heading4"/>
      </w:pPr>
      <w:r>
        <w:rPr>
          <w:rFonts w:ascii="宋体" w:hAnsi="宋体" w:eastAsia="宋体"/>
        </w:rPr>
        <w:t>（4）检索结论</w:t>
      </w:r>
    </w:p>
    <w:p>
      <w:pPr>
        <w:spacing w:after="120" w:line="276" w:lineRule="auto"/>
      </w:pPr>
      <w:r>
        <w:rPr>
          <w:rFonts w:ascii="宋体" w:hAnsi="宋体" w:eastAsia="宋体"/>
          <w:sz w:val="21"/>
        </w:rPr>
        <w:t>已有技术分别公开了异构图对比学习、元路径建模、特征相似图和鲁棒邻居净化等单项思路。经上述公开资料比对，本发明的拟保护主线不是这些单项要素的并列，而是用于结构扰动场景的协同闭环：先以“元路径候选连接的属性一致性”完成局部净化，再以“跨元路径语义重要性”完成全局净化；同时从原始节点特征构造不依赖受攻击边的参考视图；最后通过同一节点的双向跨视图对齐，使两种视图共同参与节点分类。该组合应作为独立权利要求的重点，局部净化、特征诱导视图和对齐损失宜在从属权利要求中进一步限定。</w:t>
      </w:r>
    </w:p>
    <w:p>
      <w:pPr>
        <w:pStyle w:val="Heading3"/>
      </w:pPr>
      <w:r>
        <w:rPr>
          <w:rFonts w:ascii="宋体" w:hAnsi="宋体" w:eastAsia="宋体"/>
        </w:rPr>
        <w:t>1.2 现有技术存在的缺点</w:t>
      </w:r>
    </w:p>
    <w:p>
      <w:pPr>
        <w:spacing w:after="120" w:line="276" w:lineRule="auto"/>
      </w:pPr>
      <w:r>
        <w:rPr>
          <w:rFonts w:ascii="宋体" w:hAnsi="宋体" w:eastAsia="宋体"/>
          <w:sz w:val="21"/>
        </w:rPr>
        <w:t>（1）随机删边、随机掩码等增强方式没有区分自然边与攻击注入边，可能保留恶意连接或误删关键语义连接。</w:t>
      </w:r>
    </w:p>
    <w:p>
      <w:pPr>
        <w:spacing w:after="120" w:line="276" w:lineRule="auto"/>
      </w:pPr>
      <w:r>
        <w:rPr>
          <w:rFonts w:ascii="宋体" w:hAnsi="宋体" w:eastAsia="宋体"/>
          <w:sz w:val="21"/>
        </w:rPr>
        <w:t>（2）仅在单一受攻击拓扑上进行邻居注意力或结构净化时，净化结果仍受被扰动的邻域约束，缺少可用于相互校验的、由原始属性建立的稳定参照。</w:t>
      </w:r>
    </w:p>
    <w:p>
      <w:pPr>
        <w:spacing w:after="120" w:line="276" w:lineRule="auto"/>
      </w:pPr>
      <w:r>
        <w:rPr>
          <w:rFonts w:ascii="宋体" w:hAnsi="宋体" w:eastAsia="宋体"/>
          <w:sz w:val="21"/>
        </w:rPr>
        <w:t>（3）只按单个元路径进行筛选，难以同时利用各元路径内部的属性一致性和各元路径之间的任务相关性；不同元路径的噪声会被直接混入统一邻接关系。</w:t>
      </w:r>
    </w:p>
    <w:p>
      <w:pPr>
        <w:spacing w:after="120" w:line="276" w:lineRule="auto"/>
      </w:pPr>
      <w:r>
        <w:rPr>
          <w:rFonts w:ascii="宋体" w:hAnsi="宋体" w:eastAsia="宋体"/>
          <w:sz w:val="21"/>
        </w:rPr>
        <w:t>（4）常规多视图对比学习多以随机增强视图为正样本，未明确利用“同一节点在净化拓扑视图和特征诱导视图中应保持一致”的约束，因而难以针对结构扰动校正表示偏移。</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要解决的技术问题是：在异构图节点分类中，当观测关系边被插入、删除或重连而产生结构扰动时，如何在不完全依赖受扰动邻域的前提下，保留具有真实语义关联的候选连接，抑制跨元路径传播的低可信连接，并使同一节点在净化拓扑表征和特征诱导表征之间保持一致，从而提升节点分类的稳定性和准确性。</w:t>
      </w:r>
    </w:p>
    <w:p>
      <w:pPr>
        <w:spacing w:after="120" w:line="276" w:lineRule="auto"/>
      </w:pPr>
      <w:r>
        <w:rPr>
          <w:rFonts w:ascii="宋体" w:hAnsi="宋体" w:eastAsia="宋体"/>
          <w:sz w:val="21"/>
        </w:rPr>
        <w:t>为此，本发明构建两类来源不同但可对齐的视图：一类是经分层语义净化后的拓扑视图，另一类是由原始目标节点特征直接诱导的参考视图。前者利用结构但减少疑似扰动边的影响，后者不以观测边作为建图依据。随后，本发明以同一节点的跨视图表示为正样本、不同节点的跨视图表示为负样本，使用对称对比目标约束两个视图对同一节点给出一致表示。</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设待分类对象组成的异构图为 (G=(V,E,\mathcal{T},\mathcal{R},X)\)。其中，(V) 为节点集合，(E) 为观测关系边集合，</w:t>
      </w:r>
      <w:r>
        <w:rPr>
          <w:rFonts w:ascii="宋体" w:hAnsi="宋体" w:eastAsia="宋体"/>
          <w:b w:val="0"/>
          <w:sz w:val="21"/>
        </w:rPr>
        <w:drawing>
          <wp:inline xmlns:a="http://schemas.openxmlformats.org/drawingml/2006/main" xmlns:pic="http://schemas.openxmlformats.org/drawingml/2006/picture">
            <wp:extent cx="113053" cy="155448"/>
            <wp:docPr id="1" name="Picture 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13053" cy="155448"/>
                    </a:xfrm>
                    <a:prstGeom prst="rect"/>
                  </pic:spPr>
                </pic:pic>
              </a:graphicData>
            </a:graphic>
          </wp:inline>
        </w:drawing>
      </w:r>
      <w:r>
        <w:rPr>
          <w:rFonts w:ascii="宋体" w:hAnsi="宋体" w:eastAsia="宋体"/>
          <w:sz w:val="21"/>
        </w:rPr>
        <w:t xml:space="preserve"> 为节点类型集合，</w:t>
      </w:r>
      <w:r>
        <w:rPr>
          <w:rFonts w:ascii="宋体" w:hAnsi="宋体" w:eastAsia="宋体"/>
          <w:b w:val="0"/>
          <w:sz w:val="21"/>
        </w:rPr>
        <w:drawing>
          <wp:inline xmlns:a="http://schemas.openxmlformats.org/drawingml/2006/main" xmlns:pic="http://schemas.openxmlformats.org/drawingml/2006/picture">
            <wp:extent cx="176645" cy="155448"/>
            <wp:docPr id="2" name="Picture 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6645" cy="155448"/>
                    </a:xfrm>
                    <a:prstGeom prst="rect"/>
                  </pic:spPr>
                </pic:pic>
              </a:graphicData>
            </a:graphic>
          </wp:inline>
        </w:drawing>
      </w:r>
      <w:r>
        <w:rPr>
          <w:rFonts w:ascii="宋体" w:hAnsi="宋体" w:eastAsia="宋体"/>
          <w:sz w:val="21"/>
        </w:rPr>
        <w:t xml:space="preserve"> 为关系类型集合，(X) 为节点属性矩阵。目标节点属于预设目标类型，其余节点可作为元路径传播中的中间节点。</w:t>
      </w:r>
    </w:p>
    <w:p>
      <w:pPr>
        <w:spacing w:after="120" w:line="276" w:lineRule="auto"/>
      </w:pPr>
      <w:r>
        <w:rPr>
          <w:rFonts w:ascii="宋体" w:hAnsi="宋体" w:eastAsia="宋体"/>
          <w:sz w:val="21"/>
        </w:rPr>
        <w:t>在结构攻击或采集噪声存在时，观测边集合 (E) 中的一部分边不能反映真实语义关系。若直接在该图上做消息传递，低可信边可能把错误信息传给目标节点。若仅删除少量边，又可能丢失有效关系。本发明将候选连接的筛选分为元路径内和元路径间两个层次，并引入不直接使用 (E) 的特征诱导参考视图，以降低单一受扰拓扑的支配作用。</w:t>
      </w:r>
    </w:p>
    <w:p>
      <w:pPr>
        <w:pStyle w:val="Heading3"/>
      </w:pPr>
      <w:r>
        <w:rPr>
          <w:rFonts w:ascii="宋体" w:hAnsi="宋体" w:eastAsia="宋体"/>
        </w:rPr>
        <w:t>3.2 系统框图</w:t>
      </w:r>
    </w:p>
    <w:p>
      <w:pPr>
        <w:spacing w:after="120" w:before="60"/>
      </w:pPr>
      <w:r>
        <w:rPr>
          <w:b w:val="0"/>
        </w:rPr>
        <w:drawing>
          <wp:inline xmlns:a="http://schemas.openxmlformats.org/drawingml/2006/main" xmlns:pic="http://schemas.openxmlformats.org/drawingml/2006/picture">
            <wp:extent cx="4231108" cy="7498079"/>
            <wp:docPr id="3" name="Picture 3"/>
            <wp:cNvGraphicFramePr>
              <a:graphicFrameLocks noChangeAspect="1"/>
            </wp:cNvGraphicFramePr>
            <a:graphic>
              <a:graphicData uri="http://schemas.openxmlformats.org/drawingml/2006/picture">
                <pic:pic>
                  <pic:nvPicPr>
                    <pic:cNvPr id="0" name="fig_001.png"/>
                    <pic:cNvPicPr/>
                  </pic:nvPicPr>
                  <pic:blipFill>
                    <a:blip r:embed="rId11"/>
                    <a:stretch>
                      <a:fillRect/>
                    </a:stretch>
                  </pic:blipFill>
                  <pic:spPr>
                    <a:xfrm>
                      <a:off x="0" y="0"/>
                      <a:ext cx="4231108" cy="7498079"/>
                    </a:xfrm>
                    <a:prstGeom prst="rect"/>
                  </pic:spPr>
                </pic:pic>
              </a:graphicData>
            </a:graphic>
          </wp:inline>
        </w:drawing>
      </w:r>
    </w:p>
    <w:p>
      <w:pPr>
        <w:spacing w:after="120" w:line="276" w:lineRule="auto"/>
      </w:pPr>
      <w:r>
        <w:rPr>
          <w:rFonts w:ascii="宋体" w:hAnsi="宋体" w:eastAsia="宋体"/>
          <w:sz w:val="21"/>
        </w:rPr>
        <w:t>图中，分层语义拓扑净化模块与特征诱导参考视图模块并行工作。两者输出分别输入相互独立或参数不共享的图编码器；编码器结果一方面用于分类，另一方面输入节点级双向跨视图对齐模块，并在联合优化时共同更新。</w:t>
      </w:r>
    </w:p>
    <w:p>
      <w:pPr>
        <w:pStyle w:val="Heading3"/>
      </w:pPr>
      <w:r>
        <w:rPr>
          <w:rFonts w:ascii="宋体" w:hAnsi="宋体" w:eastAsia="宋体"/>
        </w:rPr>
        <w:t>3.3 模块功能说明</w:t>
      </w:r>
    </w:p>
    <w:p>
      <w:pPr>
        <w:pStyle w:val="Heading4"/>
      </w:pPr>
      <w:r>
        <w:rPr>
          <w:rFonts w:ascii="宋体" w:hAnsi="宋体" w:eastAsia="宋体"/>
        </w:rPr>
        <w:t>（1）元路径候选连接构建模块</w:t>
      </w:r>
    </w:p>
    <w:p>
      <w:pPr>
        <w:spacing w:after="120" w:line="276" w:lineRule="auto"/>
      </w:pPr>
      <w:r>
        <w:rPr>
          <w:rFonts w:ascii="宋体" w:hAnsi="宋体" w:eastAsia="宋体"/>
          <w:sz w:val="21"/>
        </w:rPr>
        <w:t>该模块从目标节点到目标节点的预设元路径集合中获得多个候选邻接矩阵。每个矩阵保留一种关系组合下可达的目标节点对，不直接把不同元路径的候选边混合，以便后续分别衡量其可信度。</w:t>
      </w:r>
    </w:p>
    <w:p>
      <w:pPr>
        <w:pStyle w:val="Heading4"/>
      </w:pPr>
      <w:r>
        <w:rPr>
          <w:rFonts w:ascii="宋体" w:hAnsi="宋体" w:eastAsia="宋体"/>
        </w:rPr>
        <w:t>（2）分层语义拓扑净化模块</w:t>
      </w:r>
    </w:p>
    <w:p>
      <w:pPr>
        <w:spacing w:after="120" w:line="276" w:lineRule="auto"/>
      </w:pPr>
      <w:r>
        <w:rPr>
          <w:rFonts w:ascii="宋体" w:hAnsi="宋体" w:eastAsia="宋体"/>
          <w:sz w:val="21"/>
        </w:rPr>
        <w:t>该模块包括元路径内属性一致性评分、局部阈值筛选、元路径语义权重聚合和全局阈值筛选四个相互衔接的子模块。首先，利用相连目标节点的归一化原始属性计算候选边置信度；其次，在每个元路径内剔除低于对应局部阈值的连接；然后，根据当前任务对各元路径学习语义权重；最后，对聚合后的连接再执行全局阈值筛选。该两阶段处理避免只依据局部相似度保留任务无关边，也避免过早跨元路径混合噪声。</w:t>
      </w:r>
    </w:p>
    <w:p>
      <w:pPr>
        <w:pStyle w:val="Heading4"/>
      </w:pPr>
      <w:r>
        <w:rPr>
          <w:rFonts w:ascii="宋体" w:hAnsi="宋体" w:eastAsia="宋体"/>
        </w:rPr>
        <w:t>（3）特征诱导参考视图构建模块</w:t>
      </w:r>
    </w:p>
    <w:p>
      <w:pPr>
        <w:spacing w:after="120" w:line="276" w:lineRule="auto"/>
      </w:pPr>
      <w:r>
        <w:rPr>
          <w:rFonts w:ascii="宋体" w:hAnsi="宋体" w:eastAsia="宋体"/>
          <w:sz w:val="21"/>
        </w:rPr>
        <w:t>该模块仅以目标节点的原始属性相似度建立 K 近邻连接，不以观测关系边是否存在作为建边条件。在仅攻击结构而不篡改原始属性的场景中，该视图可作为与受攻击拓扑相对独立的参考；在属性也存在不可靠情形时，可先对属性进行预处理或将该视图置信度调低。</w:t>
      </w:r>
    </w:p>
    <w:p>
      <w:pPr>
        <w:pStyle w:val="Heading4"/>
      </w:pPr>
      <w:r>
        <w:rPr>
          <w:rFonts w:ascii="宋体" w:hAnsi="宋体" w:eastAsia="宋体"/>
        </w:rPr>
        <w:t>（4）双视图编码与节点级对齐模块</w:t>
      </w:r>
    </w:p>
    <w:p>
      <w:pPr>
        <w:spacing w:after="120" w:line="276" w:lineRule="auto"/>
      </w:pPr>
      <w:r>
        <w:rPr>
          <w:rFonts w:ascii="宋体" w:hAnsi="宋体" w:eastAsia="宋体"/>
          <w:sz w:val="21"/>
        </w:rPr>
        <w:t>该模块分别在净化拓扑视图和特征诱导参考视图上执行图编码，得到每个目标节点的两组嵌入。对齐模块把同一目标节点的两组嵌入作为正样本对，把批内或全体其他目标节点的跨视图嵌入作为负样本对，同时从两个视图方向计算对比损失。由此，净化拓扑视图学习到的关系结构与特征诱导视图提供的稳定参照相互约束。</w:t>
      </w:r>
    </w:p>
    <w:p>
      <w:pPr>
        <w:pStyle w:val="Heading4"/>
      </w:pPr>
      <w:r>
        <w:rPr>
          <w:rFonts w:ascii="宋体" w:hAnsi="宋体" w:eastAsia="宋体"/>
        </w:rPr>
        <w:t>（5）联合分类优化模块</w:t>
      </w:r>
    </w:p>
    <w:p>
      <w:pPr>
        <w:spacing w:after="120" w:line="276" w:lineRule="auto"/>
      </w:pPr>
      <w:r>
        <w:rPr>
          <w:rFonts w:ascii="宋体" w:hAnsi="宋体" w:eastAsia="宋体"/>
          <w:sz w:val="21"/>
        </w:rPr>
        <w:t>该模块拼接或融合双视图嵌入完成节点分类，并将分类损失、双向对比损失和可选的辅助元路径语义学习损失进行联合优化。训练完成后，以分类输出作为目标节点的类别结果。</w:t>
      </w:r>
    </w:p>
    <w:p>
      <w:pPr>
        <w:pStyle w:val="Heading3"/>
      </w:pPr>
      <w:r>
        <w:rPr>
          <w:rFonts w:ascii="宋体" w:hAnsi="宋体" w:eastAsia="宋体"/>
        </w:rPr>
        <w:t>3.4 系统流程说明</w:t>
      </w:r>
    </w:p>
    <w:p>
      <w:pPr>
        <w:spacing w:after="120" w:before="60"/>
      </w:pPr>
      <w:r>
        <w:rPr>
          <w:b w:val="0"/>
        </w:rPr>
        <w:drawing>
          <wp:inline xmlns:a="http://schemas.openxmlformats.org/drawingml/2006/main" xmlns:pic="http://schemas.openxmlformats.org/drawingml/2006/picture">
            <wp:extent cx="4083394" cy="7498079"/>
            <wp:docPr id="4" name="Picture 4"/>
            <wp:cNvGraphicFramePr>
              <a:graphicFrameLocks noChangeAspect="1"/>
            </wp:cNvGraphicFramePr>
            <a:graphic>
              <a:graphicData uri="http://schemas.openxmlformats.org/drawingml/2006/picture">
                <pic:pic>
                  <pic:nvPicPr>
                    <pic:cNvPr id="0" name="fig_002.png"/>
                    <pic:cNvPicPr/>
                  </pic:nvPicPr>
                  <pic:blipFill>
                    <a:blip r:embed="rId12"/>
                    <a:stretch>
                      <a:fillRect/>
                    </a:stretch>
                  </pic:blipFill>
                  <pic:spPr>
                    <a:xfrm>
                      <a:off x="0" y="0"/>
                      <a:ext cx="4083394" cy="7498079"/>
                    </a:xfrm>
                    <a:prstGeom prst="rect"/>
                  </pic:spPr>
                </pic:pic>
              </a:graphicData>
            </a:graphic>
          </wp:inline>
        </w:drawing>
      </w:r>
    </w:p>
    <w:p>
      <w:pPr>
        <w:spacing w:after="120" w:line="276" w:lineRule="auto"/>
      </w:pPr>
      <w:r>
        <w:rPr>
          <w:rFonts w:ascii="宋体" w:hAnsi="宋体" w:eastAsia="宋体"/>
          <w:sz w:val="21"/>
        </w:rPr>
        <w:t>流程中，S2 至 S6 形成拓扑证据的分层净化链；S7 至 S8 形成不基于观测边的特征证据链；S9 至 S12 将两类证据同时用于分类与表示一致性约束。局部阈值、全局阈值、近邻数和对比温度均通过验证集确定，而不以测试集结果选择。</w:t>
      </w:r>
    </w:p>
    <w:p>
      <w:pPr>
        <w:pStyle w:val="Heading3"/>
      </w:pPr>
      <w:r>
        <w:rPr>
          <w:rFonts w:ascii="宋体" w:hAnsi="宋体" w:eastAsia="宋体"/>
        </w:rPr>
        <w:t>3.4.1 符号与公式</w:t>
      </w:r>
    </w:p>
    <w:p>
      <w:pPr>
        <w:pStyle w:val="Heading4"/>
      </w:pPr>
      <w:r>
        <w:rPr>
          <w:rFonts w:ascii="宋体" w:hAnsi="宋体" w:eastAsia="宋体"/>
        </w:rPr>
        <w:t>（1）图、节点和元路径符号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(G=(V,E,\mathcal{T},\mathcal{R},X)\)</w:t>
            </w:r>
          </w:p>
        </w:tc>
        <w:tc>
          <w:tcPr>
            <w:tcW w:type="dxa" w:w="2880"/>
          </w:tcPr>
          <w:p>
            <w:r>
              <w:rPr>
                <w:rFonts w:ascii="宋体" w:hAnsi="宋体" w:eastAsia="宋体"/>
                <w:sz w:val="20"/>
              </w:rPr>
            </w:r>
            <w:r>
              <w:rPr>
                <w:rFonts w:ascii="宋体" w:hAnsi="宋体" w:eastAsia="宋体"/>
                <w:sz w:val="20"/>
              </w:rPr>
              <w:t>输入异构图</w:t>
            </w:r>
          </w:p>
        </w:tc>
        <w:tc>
          <w:tcPr>
            <w:tcW w:type="dxa" w:w="2880"/>
          </w:tcPr>
          <w:p>
            <w:r>
              <w:rPr>
                <w:rFonts w:ascii="宋体" w:hAnsi="宋体" w:eastAsia="宋体"/>
                <w:sz w:val="20"/>
              </w:rPr>
            </w:r>
            <w:r>
              <w:rPr>
                <w:rFonts w:ascii="宋体" w:hAnsi="宋体" w:eastAsia="宋体"/>
                <w:sz w:val="20"/>
              </w:rPr>
              <w:t>(V) 为节点集合，(E) 为观测边集合</w:t>
            </w:r>
          </w:p>
        </w:tc>
      </w:tr>
      <w:tr>
        <w:tc>
          <w:tcPr>
            <w:tcW w:type="dxa" w:w="2880"/>
          </w:tcPr>
          <w:p>
            <w:r>
              <w:rPr>
                <w:rFonts w:ascii="宋体" w:hAnsi="宋体" w:eastAsia="宋体"/>
                <w:sz w:val="20"/>
              </w:rPr>
            </w:r>
            <w:r>
              <w:rPr>
                <w:rFonts w:ascii="宋体" w:hAnsi="宋体" w:eastAsia="宋体"/>
                <w:sz w:val="20"/>
              </w:rPr>
              <w:t>(V_t\)</w:t>
            </w:r>
          </w:p>
        </w:tc>
        <w:tc>
          <w:tcPr>
            <w:tcW w:type="dxa" w:w="2880"/>
          </w:tcPr>
          <w:p>
            <w:r>
              <w:rPr>
                <w:rFonts w:ascii="宋体" w:hAnsi="宋体" w:eastAsia="宋体"/>
                <w:sz w:val="20"/>
              </w:rPr>
            </w:r>
            <w:r>
              <w:rPr>
                <w:rFonts w:ascii="宋体" w:hAnsi="宋体" w:eastAsia="宋体"/>
                <w:sz w:val="20"/>
              </w:rPr>
              <w:t>目标类型节点集合</w:t>
            </w:r>
          </w:p>
        </w:tc>
        <w:tc>
          <w:tcPr>
            <w:tcW w:type="dxa" w:w="2880"/>
          </w:tcPr>
          <w:p>
            <w:r>
              <w:rPr>
                <w:rFonts w:ascii="宋体" w:hAnsi="宋体" w:eastAsia="宋体"/>
                <w:sz w:val="20"/>
              </w:rPr>
            </w:r>
            <w:r>
              <w:rPr>
                <w:rFonts w:ascii="宋体" w:hAnsi="宋体" w:eastAsia="宋体"/>
                <w:sz w:val="20"/>
              </w:rPr>
              <w:t>(t) 为预设目标节点类型</w:t>
            </w:r>
          </w:p>
        </w:tc>
      </w:tr>
      <w:tr>
        <w:tc>
          <w:tcPr>
            <w:tcW w:type="dxa" w:w="2880"/>
          </w:tcPr>
          <w:p>
            <w:r>
              <w:rPr>
                <w:rFonts w:ascii="宋体" w:hAnsi="宋体" w:eastAsia="宋体"/>
                <w:sz w:val="20"/>
              </w:rPr>
            </w:r>
            <w:r>
              <w:rPr>
                <w:rFonts w:ascii="宋体" w:hAnsi="宋体" w:eastAsia="宋体"/>
                <w:sz w:val="20"/>
              </w:rPr>
              <w:t>(i,j\)</w:t>
            </w:r>
          </w:p>
        </w:tc>
        <w:tc>
          <w:tcPr>
            <w:tcW w:type="dxa" w:w="2880"/>
          </w:tcPr>
          <w:p>
            <w:r>
              <w:rPr>
                <w:rFonts w:ascii="宋体" w:hAnsi="宋体" w:eastAsia="宋体"/>
                <w:sz w:val="20"/>
              </w:rPr>
            </w:r>
            <w:r>
              <w:rPr>
                <w:rFonts w:ascii="宋体" w:hAnsi="宋体" w:eastAsia="宋体"/>
                <w:sz w:val="20"/>
              </w:rPr>
              <w:t>目标节点索引</w:t>
            </w:r>
          </w:p>
        </w:tc>
        <w:tc>
          <w:tcPr>
            <w:tcW w:type="dxa" w:w="2880"/>
          </w:tcPr>
          <w:p>
            <w:r>
              <w:rPr>
                <w:rFonts w:ascii="宋体" w:hAnsi="宋体" w:eastAsia="宋体"/>
                <w:sz w:val="20"/>
              </w:rPr>
            </w:r>
            <w:r>
              <w:rPr>
                <w:rFonts w:ascii="宋体" w:hAnsi="宋体" w:eastAsia="宋体"/>
                <w:sz w:val="20"/>
              </w:rPr>
              <w:t>(i,j\in V_t\)</w:t>
            </w:r>
          </w:p>
        </w:tc>
      </w:tr>
      <w:tr>
        <w:tc>
          <w:tcPr>
            <w:tcW w:type="dxa" w:w="2880"/>
          </w:tcPr>
          <w:p>
            <w:r>
              <w:rPr>
                <w:rFonts w:ascii="宋体" w:hAnsi="宋体" w:eastAsia="宋体"/>
                <w:sz w:val="20"/>
              </w:rPr>
            </w:r>
            <w:r>
              <w:rPr>
                <w:rFonts w:ascii="宋体" w:hAnsi="宋体" w:eastAsia="宋体"/>
                <w:sz w:val="20"/>
              </w:rPr>
              <w:t>(m\)</w:t>
            </w:r>
          </w:p>
        </w:tc>
        <w:tc>
          <w:tcPr>
            <w:tcW w:type="dxa" w:w="2880"/>
          </w:tcPr>
          <w:p>
            <w:r>
              <w:rPr>
                <w:rFonts w:ascii="宋体" w:hAnsi="宋体" w:eastAsia="宋体"/>
                <w:sz w:val="20"/>
              </w:rPr>
            </w:r>
            <w:r>
              <w:rPr>
                <w:rFonts w:ascii="宋体" w:hAnsi="宋体" w:eastAsia="宋体"/>
                <w:sz w:val="20"/>
              </w:rPr>
              <w:t>元路径索引</w:t>
            </w:r>
          </w:p>
        </w:tc>
        <w:tc>
          <w:tcPr>
            <w:tcW w:type="dxa" w:w="2880"/>
          </w:tcPr>
          <w:p>
            <w:r>
              <w:rPr>
                <w:rFonts w:ascii="宋体" w:hAnsi="宋体" w:eastAsia="宋体"/>
                <w:sz w:val="20"/>
              </w:rPr>
            </w:r>
            <w:r>
              <w:rPr>
                <w:rFonts w:ascii="宋体" w:hAnsi="宋体" w:eastAsia="宋体"/>
                <w:sz w:val="20"/>
              </w:rPr>
              <w:t>(m\in\{1,\ldots,M\}\)</w:t>
            </w:r>
          </w:p>
        </w:tc>
      </w:tr>
      <w:tr>
        <w:tc>
          <w:tcPr>
            <w:tcW w:type="dxa" w:w="2880"/>
          </w:tcPr>
          <w:p>
            <w:r>
              <w:rPr>
                <w:rFonts w:ascii="宋体" w:hAnsi="宋体" w:eastAsia="宋体"/>
                <w:sz w:val="20"/>
              </w:rPr>
            </w:r>
            <w:r>
              <w:rPr>
                <w:rFonts w:ascii="宋体" w:hAnsi="宋体" w:eastAsia="宋体"/>
                <w:sz w:val="20"/>
              </w:rPr>
              <w:t>(A^{(m)}\)</w:t>
            </w:r>
          </w:p>
        </w:tc>
        <w:tc>
          <w:tcPr>
            <w:tcW w:type="dxa" w:w="2880"/>
          </w:tcPr>
          <w:p>
            <w:r>
              <w:rPr>
                <w:rFonts w:ascii="宋体" w:hAnsi="宋体" w:eastAsia="宋体"/>
                <w:sz w:val="20"/>
              </w:rPr>
            </w:r>
            <w:r>
              <w:rPr>
                <w:rFonts w:ascii="宋体" w:hAnsi="宋体" w:eastAsia="宋体"/>
                <w:sz w:val="20"/>
              </w:rPr>
              <w:t>元路径 (m) 的候选邻接矩阵</w:t>
            </w:r>
          </w:p>
        </w:tc>
        <w:tc>
          <w:tcPr>
            <w:tcW w:type="dxa" w:w="2880"/>
          </w:tcPr>
          <w:p>
            <w:r>
              <w:rPr>
                <w:rFonts w:ascii="宋体" w:hAnsi="宋体" w:eastAsia="宋体"/>
                <w:sz w:val="20"/>
              </w:rPr>
            </w:r>
            <w:r>
              <w:rPr>
                <w:rFonts w:ascii="宋体" w:hAnsi="宋体" w:eastAsia="宋体"/>
                <w:sz w:val="20"/>
              </w:rPr>
              <w:t>元素为非负可达计数或归一化连接强度</w:t>
            </w:r>
          </w:p>
        </w:tc>
      </w:tr>
      <w:tr>
        <w:tc>
          <w:tcPr>
            <w:tcW w:type="dxa" w:w="2880"/>
          </w:tcPr>
          <w:p>
            <w:r>
              <w:rPr>
                <w:rFonts w:ascii="宋体" w:hAnsi="宋体" w:eastAsia="宋体"/>
                <w:sz w:val="20"/>
              </w:rPr>
            </w:r>
            <w:r>
              <w:rPr>
                <w:rFonts w:ascii="宋体" w:hAnsi="宋体" w:eastAsia="宋体"/>
                <w:sz w:val="20"/>
              </w:rPr>
              <w:t>(\tilde{x}_i\)</w:t>
            </w:r>
          </w:p>
        </w:tc>
        <w:tc>
          <w:tcPr>
            <w:tcW w:type="dxa" w:w="2880"/>
          </w:tcPr>
          <w:p>
            <w:r>
              <w:rPr>
                <w:rFonts w:ascii="宋体" w:hAnsi="宋体" w:eastAsia="宋体"/>
                <w:sz w:val="20"/>
              </w:rPr>
            </w:r>
            <w:r>
              <w:rPr>
                <w:rFonts w:ascii="宋体" w:hAnsi="宋体" w:eastAsia="宋体"/>
                <w:sz w:val="20"/>
              </w:rPr>
              <w:t>节点 (i) 的归一化原始属性向量</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574686" cy="155448"/>
                  <wp:docPr id="5" name="Picture 5"/>
                  <wp:cNvGraphicFramePr>
                    <a:graphicFrameLocks noChangeAspect="1"/>
                  </wp:cNvGraphicFramePr>
                  <a:graphic>
                    <a:graphicData uri="http://schemas.openxmlformats.org/drawingml/2006/picture">
                      <pic:pic>
                        <pic:nvPicPr>
                          <pic:cNvPr id="0" name="inline_003.png"/>
                          <pic:cNvPicPr/>
                        </pic:nvPicPr>
                        <pic:blipFill>
                          <a:blip r:embed="rId13"/>
                          <a:stretch>
                            <a:fillRect/>
                          </a:stretch>
                        </pic:blipFill>
                        <pic:spPr>
                          <a:xfrm>
                            <a:off x="0" y="0"/>
                            <a:ext cx="574686" cy="155448"/>
                          </a:xfrm>
                          <a:prstGeom prst="rect"/>
                        </pic:spPr>
                      </pic:pic>
                    </a:graphicData>
                  </a:graphic>
                </wp:inline>
              </w:drawing>
            </w:r>
          </w:p>
        </w:tc>
      </w:tr>
    </w:tbl>
    <w:p>
      <w:pPr>
        <w:pStyle w:val="Heading4"/>
      </w:pPr>
      <w:r>
        <w:rPr>
          <w:rFonts w:ascii="宋体" w:hAnsi="宋体" w:eastAsia="宋体"/>
        </w:rPr>
        <w:t>（2）净化和视图构造符号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(s_{ij}^{(m)}\)</w:t>
            </w:r>
          </w:p>
        </w:tc>
        <w:tc>
          <w:tcPr>
            <w:tcW w:type="dxa" w:w="2880"/>
          </w:tcPr>
          <w:p>
            <w:r>
              <w:rPr>
                <w:rFonts w:ascii="宋体" w:hAnsi="宋体" w:eastAsia="宋体"/>
                <w:sz w:val="20"/>
              </w:rPr>
            </w:r>
            <w:r>
              <w:rPr>
                <w:rFonts w:ascii="宋体" w:hAnsi="宋体" w:eastAsia="宋体"/>
                <w:sz w:val="20"/>
              </w:rPr>
              <w:t>元路径 (m) 下候选连接 (i,j) 的属性一致性置信度</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(d_i^{(m)}\)</w:t>
            </w:r>
          </w:p>
        </w:tc>
        <w:tc>
          <w:tcPr>
            <w:tcW w:type="dxa" w:w="2880"/>
          </w:tcPr>
          <w:p>
            <w:r>
              <w:rPr>
                <w:rFonts w:ascii="宋体" w:hAnsi="宋体" w:eastAsia="宋体"/>
                <w:sz w:val="20"/>
              </w:rPr>
            </w:r>
            <w:r>
              <w:rPr>
                <w:rFonts w:ascii="宋体" w:hAnsi="宋体" w:eastAsia="宋体"/>
                <w:sz w:val="20"/>
              </w:rPr>
              <w:t>节点 (i) 在元路径 (m) 下的置信度度值</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(w_{ij}^{(m)}\)</w:t>
            </w:r>
          </w:p>
        </w:tc>
        <w:tc>
          <w:tcPr>
            <w:tcW w:type="dxa" w:w="2880"/>
          </w:tcPr>
          <w:p>
            <w:r>
              <w:rPr>
                <w:rFonts w:ascii="宋体" w:hAnsi="宋体" w:eastAsia="宋体"/>
                <w:sz w:val="20"/>
              </w:rPr>
            </w:r>
            <w:r>
              <w:rPr>
                <w:rFonts w:ascii="宋体" w:hAnsi="宋体" w:eastAsia="宋体"/>
                <w:sz w:val="20"/>
              </w:rPr>
              <w:t>归一化后的元路径内连接权重</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(\gamma_m\)</w:t>
            </w:r>
          </w:p>
        </w:tc>
        <w:tc>
          <w:tcPr>
            <w:tcW w:type="dxa" w:w="2880"/>
          </w:tcPr>
          <w:p>
            <w:r>
              <w:rPr>
                <w:rFonts w:ascii="宋体" w:hAnsi="宋体" w:eastAsia="宋体"/>
                <w:sz w:val="20"/>
              </w:rPr>
            </w:r>
            <w:r>
              <w:rPr>
                <w:rFonts w:ascii="宋体" w:hAnsi="宋体" w:eastAsia="宋体"/>
                <w:sz w:val="20"/>
              </w:rPr>
              <w:t>元路径 (m) 的局部筛选阈值</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61695" cy="155448"/>
                  <wp:docPr id="6" name="Picture 6"/>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761695"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sz w:val="20"/>
              </w:rPr>
              <w:t>(\beta_m\)</w:t>
            </w:r>
          </w:p>
        </w:tc>
        <w:tc>
          <w:tcPr>
            <w:tcW w:type="dxa" w:w="2880"/>
          </w:tcPr>
          <w:p>
            <w:r>
              <w:rPr>
                <w:rFonts w:ascii="宋体" w:hAnsi="宋体" w:eastAsia="宋体"/>
                <w:sz w:val="20"/>
              </w:rPr>
            </w:r>
            <w:r>
              <w:rPr>
                <w:rFonts w:ascii="宋体" w:hAnsi="宋体" w:eastAsia="宋体"/>
                <w:sz w:val="20"/>
              </w:rPr>
              <w:t>元路径 (m) 的语义权重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06581" cy="155448"/>
                  <wp:docPr id="7" name="Picture 7"/>
                  <wp:cNvGraphicFramePr>
                    <a:graphicFrameLocks noChangeAspect="1"/>
                  </wp:cNvGraphicFramePr>
                  <a:graphic>
                    <a:graphicData uri="http://schemas.openxmlformats.org/drawingml/2006/picture">
                      <pic:pic>
                        <pic:nvPicPr>
                          <pic:cNvPr id="0" name="inline_005.png"/>
                          <pic:cNvPicPr/>
                        </pic:nvPicPr>
                        <pic:blipFill>
                          <a:blip r:embed="rId15"/>
                          <a:stretch>
                            <a:fillRect/>
                          </a:stretch>
                        </pic:blipFill>
                        <pic:spPr>
                          <a:xfrm>
                            <a:off x="0" y="0"/>
                            <a:ext cx="706581" cy="155448"/>
                          </a:xfrm>
                          <a:prstGeom prst="rect"/>
                        </pic:spPr>
                      </pic:pic>
                    </a:graphicData>
                  </a:graphic>
                </wp:inline>
              </w:drawing>
            </w:r>
            <w:r>
              <w:rPr>
                <w:rFonts w:ascii="宋体" w:hAnsi="宋体" w:eastAsia="宋体"/>
                <w:sz w:val="20"/>
              </w:rPr>
              <w:t xml:space="preserve">，且 </w:t>
            </w:r>
            <w:r>
              <w:rPr>
                <w:rFonts w:ascii="宋体" w:hAnsi="宋体" w:eastAsia="宋体"/>
                <w:b w:val="0"/>
                <w:sz w:val="20"/>
              </w:rPr>
              <w:drawing>
                <wp:inline xmlns:a="http://schemas.openxmlformats.org/drawingml/2006/main" xmlns:pic="http://schemas.openxmlformats.org/drawingml/2006/picture">
                  <wp:extent cx="344811" cy="155448"/>
                  <wp:docPr id="8" name="Picture 8"/>
                  <wp:cNvGraphicFramePr>
                    <a:graphicFrameLocks noChangeAspect="1"/>
                  </wp:cNvGraphicFramePr>
                  <a:graphic>
                    <a:graphicData uri="http://schemas.openxmlformats.org/drawingml/2006/picture">
                      <pic:pic>
                        <pic:nvPicPr>
                          <pic:cNvPr id="0" name="inline_006.png"/>
                          <pic:cNvPicPr/>
                        </pic:nvPicPr>
                        <pic:blipFill>
                          <a:blip r:embed="rId16"/>
                          <a:stretch>
                            <a:fillRect/>
                          </a:stretch>
                        </pic:blipFill>
                        <pic:spPr>
                          <a:xfrm>
                            <a:off x="0" y="0"/>
                            <a:ext cx="344811"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sz w:val="20"/>
              </w:rPr>
              <w:t>(\gamma_s\)</w:t>
            </w:r>
          </w:p>
        </w:tc>
        <w:tc>
          <w:tcPr>
            <w:tcW w:type="dxa" w:w="2880"/>
          </w:tcPr>
          <w:p>
            <w:r>
              <w:rPr>
                <w:rFonts w:ascii="宋体" w:hAnsi="宋体" w:eastAsia="宋体"/>
                <w:sz w:val="20"/>
              </w:rPr>
            </w:r>
            <w:r>
              <w:rPr>
                <w:rFonts w:ascii="宋体" w:hAnsi="宋体" w:eastAsia="宋体"/>
                <w:sz w:val="20"/>
              </w:rPr>
              <w:t>跨元路径聚合后的全局筛选阈值</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15060" cy="155448"/>
                  <wp:docPr id="9" name="Picture 9"/>
                  <wp:cNvGraphicFramePr>
                    <a:graphicFrameLocks noChangeAspect="1"/>
                  </wp:cNvGraphicFramePr>
                  <a:graphic>
                    <a:graphicData uri="http://schemas.openxmlformats.org/drawingml/2006/picture">
                      <pic:pic>
                        <pic:nvPicPr>
                          <pic:cNvPr id="0" name="inline_007.png"/>
                          <pic:cNvPicPr/>
                        </pic:nvPicPr>
                        <pic:blipFill>
                          <a:blip r:embed="rId17"/>
                          <a:stretch>
                            <a:fillRect/>
                          </a:stretch>
                        </pic:blipFill>
                        <pic:spPr>
                          <a:xfrm>
                            <a:off x="0" y="0"/>
                            <a:ext cx="71506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sz w:val="20"/>
              </w:rPr>
              <w:t>(A^{\mathrm{topo}}\)</w:t>
            </w:r>
          </w:p>
        </w:tc>
        <w:tc>
          <w:tcPr>
            <w:tcW w:type="dxa" w:w="2880"/>
          </w:tcPr>
          <w:p>
            <w:r>
              <w:rPr>
                <w:rFonts w:ascii="宋体" w:hAnsi="宋体" w:eastAsia="宋体"/>
                <w:sz w:val="20"/>
              </w:rPr>
            </w:r>
            <w:r>
              <w:rPr>
                <w:rFonts w:ascii="宋体" w:hAnsi="宋体" w:eastAsia="宋体"/>
                <w:sz w:val="20"/>
              </w:rPr>
              <w:t>净化拓扑视图的邻接矩阵</w:t>
            </w:r>
          </w:p>
        </w:tc>
        <w:tc>
          <w:tcPr>
            <w:tcW w:type="dxa" w:w="2880"/>
          </w:tcPr>
          <w:p>
            <w:r>
              <w:rPr>
                <w:rFonts w:ascii="宋体" w:hAnsi="宋体" w:eastAsia="宋体"/>
                <w:sz w:val="20"/>
              </w:rPr>
            </w:r>
            <w:r>
              <w:rPr>
                <w:rFonts w:ascii="宋体" w:hAnsi="宋体" w:eastAsia="宋体"/>
                <w:sz w:val="20"/>
              </w:rPr>
              <w:t>目标节点间非负连接</w:t>
            </w:r>
          </w:p>
        </w:tc>
      </w:tr>
      <w:tr>
        <w:tc>
          <w:tcPr>
            <w:tcW w:type="dxa" w:w="2880"/>
          </w:tcPr>
          <w:p>
            <w:r>
              <w:rPr>
                <w:rFonts w:ascii="宋体" w:hAnsi="宋体" w:eastAsia="宋体"/>
                <w:sz w:val="20"/>
              </w:rPr>
            </w:r>
            <w:r>
              <w:rPr>
                <w:rFonts w:ascii="宋体" w:hAnsi="宋体" w:eastAsia="宋体"/>
                <w:sz w:val="20"/>
              </w:rPr>
              <w:t>(A^{\mathrm{feat}}\)</w:t>
            </w:r>
          </w:p>
        </w:tc>
        <w:tc>
          <w:tcPr>
            <w:tcW w:type="dxa" w:w="2880"/>
          </w:tcPr>
          <w:p>
            <w:r>
              <w:rPr>
                <w:rFonts w:ascii="宋体" w:hAnsi="宋体" w:eastAsia="宋体"/>
                <w:sz w:val="20"/>
              </w:rPr>
            </w:r>
            <w:r>
              <w:rPr>
                <w:rFonts w:ascii="宋体" w:hAnsi="宋体" w:eastAsia="宋体"/>
                <w:sz w:val="20"/>
              </w:rPr>
              <w:t>特征诱导参考视图的邻接矩阵</w:t>
            </w:r>
          </w:p>
        </w:tc>
        <w:tc>
          <w:tcPr>
            <w:tcW w:type="dxa" w:w="2880"/>
          </w:tcPr>
          <w:p>
            <w:r>
              <w:rPr>
                <w:rFonts w:ascii="宋体" w:hAnsi="宋体" w:eastAsia="宋体"/>
                <w:sz w:val="20"/>
              </w:rPr>
            </w:r>
            <w:r>
              <w:rPr>
                <w:rFonts w:ascii="宋体" w:hAnsi="宋体" w:eastAsia="宋体"/>
                <w:sz w:val="20"/>
              </w:rPr>
              <w:t>目标节点间 K 近邻连接</w:t>
            </w:r>
          </w:p>
        </w:tc>
      </w:tr>
      <w:tr>
        <w:tc>
          <w:tcPr>
            <w:tcW w:type="dxa" w:w="2880"/>
          </w:tcPr>
          <w:p>
            <w:r>
              <w:rPr>
                <w:rFonts w:ascii="宋体" w:hAnsi="宋体" w:eastAsia="宋体"/>
                <w:sz w:val="20"/>
              </w:rPr>
            </w:r>
            <w:r>
              <w:rPr>
                <w:rFonts w:ascii="宋体" w:hAnsi="宋体" w:eastAsia="宋体"/>
                <w:sz w:val="20"/>
              </w:rPr>
              <w:t>(K\)</w:t>
            </w:r>
          </w:p>
        </w:tc>
        <w:tc>
          <w:tcPr>
            <w:tcW w:type="dxa" w:w="2880"/>
          </w:tcPr>
          <w:p>
            <w:r>
              <w:rPr>
                <w:rFonts w:ascii="宋体" w:hAnsi="宋体" w:eastAsia="宋体"/>
                <w:sz w:val="20"/>
              </w:rPr>
            </w:r>
            <w:r>
              <w:rPr>
                <w:rFonts w:ascii="宋体" w:hAnsi="宋体" w:eastAsia="宋体"/>
                <w:sz w:val="20"/>
              </w:rPr>
              <w:t>每个目标节点保留的特征近邻数</w:t>
            </w:r>
          </w:p>
        </w:tc>
        <w:tc>
          <w:tcPr>
            <w:tcW w:type="dxa" w:w="2880"/>
          </w:tcPr>
          <w:p>
            <w:r>
              <w:rPr>
                <w:rFonts w:ascii="宋体" w:hAnsi="宋体" w:eastAsia="宋体"/>
                <w:sz w:val="20"/>
              </w:rPr>
            </w:r>
            <w:r>
              <w:rPr>
                <w:rFonts w:ascii="宋体" w:hAnsi="宋体" w:eastAsia="宋体"/>
                <w:sz w:val="20"/>
              </w:rPr>
              <w:t>正整数</w:t>
            </w:r>
          </w:p>
        </w:tc>
      </w:tr>
    </w:tbl>
    <w:p>
      <w:pPr>
        <w:pStyle w:val="Heading4"/>
      </w:pPr>
      <w:r>
        <w:rPr>
          <w:rFonts w:ascii="宋体" w:hAnsi="宋体" w:eastAsia="宋体"/>
        </w:rPr>
        <w:t>（3）编码和优化符号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(z_i^{\mathrm{topo}}\)</w:t>
            </w:r>
          </w:p>
        </w:tc>
        <w:tc>
          <w:tcPr>
            <w:tcW w:type="dxa" w:w="2880"/>
          </w:tcPr>
          <w:p>
            <w:r>
              <w:rPr>
                <w:rFonts w:ascii="宋体" w:hAnsi="宋体" w:eastAsia="宋体"/>
                <w:sz w:val="20"/>
              </w:rPr>
            </w:r>
            <w:r>
              <w:rPr>
                <w:rFonts w:ascii="宋体" w:hAnsi="宋体" w:eastAsia="宋体"/>
                <w:sz w:val="20"/>
              </w:rPr>
              <w:t>节点 (i) 的净化拓扑视图嵌入</w:t>
            </w:r>
          </w:p>
        </w:tc>
        <w:tc>
          <w:tcPr>
            <w:tcW w:type="dxa" w:w="2880"/>
          </w:tcPr>
          <w:p>
            <w:r>
              <w:rPr>
                <w:rFonts w:ascii="宋体" w:hAnsi="宋体" w:eastAsia="宋体"/>
                <w:sz w:val="20"/>
              </w:rPr>
            </w:r>
            <w:r>
              <w:rPr>
                <w:rFonts w:ascii="宋体" w:hAnsi="宋体" w:eastAsia="宋体"/>
                <w:sz w:val="20"/>
              </w:rPr>
              <w:t>实向量</w:t>
            </w:r>
          </w:p>
        </w:tc>
      </w:tr>
      <w:tr>
        <w:tc>
          <w:tcPr>
            <w:tcW w:type="dxa" w:w="2880"/>
          </w:tcPr>
          <w:p>
            <w:r>
              <w:rPr>
                <w:rFonts w:ascii="宋体" w:hAnsi="宋体" w:eastAsia="宋体"/>
                <w:sz w:val="20"/>
              </w:rPr>
            </w:r>
            <w:r>
              <w:rPr>
                <w:rFonts w:ascii="宋体" w:hAnsi="宋体" w:eastAsia="宋体"/>
                <w:sz w:val="20"/>
              </w:rPr>
              <w:t>(z_i^{\mathrm{feat}}\)</w:t>
            </w:r>
          </w:p>
        </w:tc>
        <w:tc>
          <w:tcPr>
            <w:tcW w:type="dxa" w:w="2880"/>
          </w:tcPr>
          <w:p>
            <w:r>
              <w:rPr>
                <w:rFonts w:ascii="宋体" w:hAnsi="宋体" w:eastAsia="宋体"/>
                <w:sz w:val="20"/>
              </w:rPr>
            </w:r>
            <w:r>
              <w:rPr>
                <w:rFonts w:ascii="宋体" w:hAnsi="宋体" w:eastAsia="宋体"/>
                <w:sz w:val="20"/>
              </w:rPr>
              <w:t>节点 (i) 的特征诱导视图嵌入</w:t>
            </w:r>
          </w:p>
        </w:tc>
        <w:tc>
          <w:tcPr>
            <w:tcW w:type="dxa" w:w="2880"/>
          </w:tcPr>
          <w:p>
            <w:r>
              <w:rPr>
                <w:rFonts w:ascii="宋体" w:hAnsi="宋体" w:eastAsia="宋体"/>
                <w:sz w:val="20"/>
              </w:rPr>
            </w:r>
            <w:r>
              <w:rPr>
                <w:rFonts w:ascii="宋体" w:hAnsi="宋体" w:eastAsia="宋体"/>
                <w:sz w:val="20"/>
              </w:rPr>
              <w:t>实向量</w:t>
            </w:r>
          </w:p>
        </w:tc>
      </w:tr>
      <w:tr>
        <w:tc>
          <w:tcPr>
            <w:tcW w:type="dxa" w:w="2880"/>
          </w:tcPr>
          <w:p>
            <w:r>
              <w:rPr>
                <w:rFonts w:ascii="宋体" w:hAnsi="宋体" w:eastAsia="宋体"/>
                <w:sz w:val="20"/>
              </w:rPr>
            </w:r>
            <w:r>
              <w:rPr>
                <w:rFonts w:ascii="宋体" w:hAnsi="宋体" w:eastAsia="宋体"/>
                <w:sz w:val="20"/>
              </w:rPr>
              <w:t>(\tau\)</w:t>
            </w:r>
          </w:p>
        </w:tc>
        <w:tc>
          <w:tcPr>
            <w:tcW w:type="dxa" w:w="2880"/>
          </w:tcPr>
          <w:p>
            <w:r>
              <w:rPr>
                <w:rFonts w:ascii="宋体" w:hAnsi="宋体" w:eastAsia="宋体"/>
                <w:sz w:val="20"/>
              </w:rPr>
            </w:r>
            <w:r>
              <w:rPr>
                <w:rFonts w:ascii="宋体" w:hAnsi="宋体" w:eastAsia="宋体"/>
                <w:sz w:val="20"/>
              </w:rPr>
              <w:t>对比学习温度参数</w:t>
            </w:r>
          </w:p>
        </w:tc>
        <w:tc>
          <w:tcPr>
            <w:tcW w:type="dxa" w:w="2880"/>
          </w:tcPr>
          <w:p>
            <w:r>
              <w:rPr>
                <w:rFonts w:ascii="宋体" w:hAnsi="宋体" w:eastAsia="宋体"/>
                <w:sz w:val="20"/>
              </w:rPr>
            </w:r>
            <w:r>
              <w:rPr>
                <w:rFonts w:ascii="宋体" w:hAnsi="宋体" w:eastAsia="宋体"/>
                <w:sz w:val="20"/>
              </w:rPr>
              <w:t>正实数</w:t>
            </w:r>
          </w:p>
        </w:tc>
      </w:tr>
      <w:tr>
        <w:tc>
          <w:tcPr>
            <w:tcW w:type="dxa" w:w="2880"/>
          </w:tcPr>
          <w:p>
            <w:r>
              <w:rPr>
                <w:rFonts w:ascii="宋体" w:hAnsi="宋体" w:eastAsia="宋体"/>
                <w:sz w:val="20"/>
              </w:rPr>
            </w:r>
            <w:r>
              <w:rPr>
                <w:rFonts w:ascii="宋体" w:hAnsi="宋体" w:eastAsia="宋体"/>
                <w:sz w:val="20"/>
              </w:rPr>
              <w:t>(\mathcal{L}_{\mathrm{cl}}\)</w:t>
            </w:r>
          </w:p>
        </w:tc>
        <w:tc>
          <w:tcPr>
            <w:tcW w:type="dxa" w:w="2880"/>
          </w:tcPr>
          <w:p>
            <w:r>
              <w:rPr>
                <w:rFonts w:ascii="宋体" w:hAnsi="宋体" w:eastAsia="宋体"/>
                <w:sz w:val="20"/>
              </w:rPr>
            </w:r>
            <w:r>
              <w:rPr>
                <w:rFonts w:ascii="宋体" w:hAnsi="宋体" w:eastAsia="宋体"/>
                <w:sz w:val="20"/>
              </w:rPr>
              <w:t>节点级双向跨视图对齐损失</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(\mathcal{L}_{\mathrm{cls}}\)</w:t>
            </w:r>
          </w:p>
        </w:tc>
        <w:tc>
          <w:tcPr>
            <w:tcW w:type="dxa" w:w="2880"/>
          </w:tcPr>
          <w:p>
            <w:r>
              <w:rPr>
                <w:rFonts w:ascii="宋体" w:hAnsi="宋体" w:eastAsia="宋体"/>
                <w:sz w:val="20"/>
              </w:rPr>
            </w:r>
            <w:r>
              <w:rPr>
                <w:rFonts w:ascii="宋体" w:hAnsi="宋体" w:eastAsia="宋体"/>
                <w:sz w:val="20"/>
              </w:rPr>
              <w:t>节点分类损失</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(\mathcal{L}_{\mathrm{aux}}\)</w:t>
            </w:r>
          </w:p>
        </w:tc>
        <w:tc>
          <w:tcPr>
            <w:tcW w:type="dxa" w:w="2880"/>
          </w:tcPr>
          <w:p>
            <w:r>
              <w:rPr>
                <w:rFonts w:ascii="宋体" w:hAnsi="宋体" w:eastAsia="宋体"/>
                <w:sz w:val="20"/>
              </w:rPr>
            </w:r>
            <w:r>
              <w:rPr>
                <w:rFonts w:ascii="宋体" w:hAnsi="宋体" w:eastAsia="宋体"/>
                <w:sz w:val="20"/>
              </w:rPr>
              <w:t>可选辅助元路径语义学习损失</w:t>
            </w:r>
          </w:p>
        </w:tc>
        <w:tc>
          <w:tcPr>
            <w:tcW w:type="dxa" w:w="2880"/>
          </w:tcPr>
          <w:p>
            <w:r>
              <w:rPr>
                <w:rFonts w:ascii="宋体" w:hAnsi="宋体" w:eastAsia="宋体"/>
                <w:sz w:val="20"/>
              </w:rPr>
            </w:r>
            <w:r>
              <w:rPr>
                <w:rFonts w:ascii="宋体" w:hAnsi="宋体" w:eastAsia="宋体"/>
                <w:sz w:val="20"/>
              </w:rPr>
              <w:t>非负实数</w:t>
            </w:r>
          </w:p>
        </w:tc>
      </w:tr>
      <w:tr>
        <w:tc>
          <w:tcPr>
            <w:tcW w:type="dxa" w:w="2880"/>
          </w:tcPr>
          <w:p>
            <w:r>
              <w:rPr>
                <w:rFonts w:ascii="宋体" w:hAnsi="宋体" w:eastAsia="宋体"/>
                <w:sz w:val="20"/>
              </w:rPr>
            </w:r>
            <w:r>
              <w:rPr>
                <w:rFonts w:ascii="宋体" w:hAnsi="宋体" w:eastAsia="宋体"/>
                <w:sz w:val="20"/>
              </w:rPr>
              <w:t>(\lambda_{\mathrm{cl}},\lambda_{\mathrm{aux}}\)</w:t>
            </w:r>
          </w:p>
        </w:tc>
        <w:tc>
          <w:tcPr>
            <w:tcW w:type="dxa" w:w="2880"/>
          </w:tcPr>
          <w:p>
            <w:r>
              <w:rPr>
                <w:rFonts w:ascii="宋体" w:hAnsi="宋体" w:eastAsia="宋体"/>
                <w:sz w:val="20"/>
              </w:rPr>
            </w:r>
            <w:r>
              <w:rPr>
                <w:rFonts w:ascii="宋体" w:hAnsi="宋体" w:eastAsia="宋体"/>
                <w:sz w:val="20"/>
              </w:rPr>
              <w:t>损失权重</w:t>
            </w:r>
          </w:p>
        </w:tc>
        <w:tc>
          <w:tcPr>
            <w:tcW w:type="dxa" w:w="2880"/>
          </w:tcPr>
          <w:p>
            <w:r>
              <w:rPr>
                <w:rFonts w:ascii="宋体" w:hAnsi="宋体" w:eastAsia="宋体"/>
                <w:sz w:val="20"/>
              </w:rPr>
            </w:r>
            <w:r>
              <w:rPr>
                <w:rFonts w:ascii="宋体" w:hAnsi="宋体" w:eastAsia="宋体"/>
                <w:sz w:val="20"/>
              </w:rPr>
              <w:t>非负实数</w:t>
            </w:r>
          </w:p>
        </w:tc>
      </w:tr>
    </w:tbl>
    <w:p>
      <w:pPr>
        <w:spacing w:after="120" w:line="276" w:lineRule="auto"/>
      </w:pPr>
      <w:r>
        <w:rPr>
          <w:rFonts w:ascii="宋体" w:hAnsi="宋体" w:eastAsia="宋体"/>
          <w:sz w:val="21"/>
        </w:rPr>
        <w:t>首先，针对每条元路径，以目标节点对的归一化属性内积衡量候选边的一致性；当属性内积为负时，将其截断为零，避免负连接权重进入后续归一化。候选邻接矩阵可由关系邻接矩阵沿元路径相乘得到，也可由等价的元路径可达性计算获得：</w:t>
      </w:r>
    </w:p>
    <w:p>
      <w:pPr>
        <w:spacing w:after="120" w:before="60"/>
      </w:pPr>
      <w:r>
        <w:rPr>
          <w:b w:val="0"/>
        </w:rPr>
        <w:drawing>
          <wp:inline xmlns:a="http://schemas.openxmlformats.org/drawingml/2006/main" xmlns:pic="http://schemas.openxmlformats.org/drawingml/2006/picture">
            <wp:extent cx="1284000" cy="155448"/>
            <wp:docPr id="10" name="Picture 10"/>
            <wp:cNvGraphicFramePr>
              <a:graphicFrameLocks noChangeAspect="1"/>
            </wp:cNvGraphicFramePr>
            <a:graphic>
              <a:graphicData uri="http://schemas.openxmlformats.org/drawingml/2006/picture">
                <pic:pic>
                  <pic:nvPicPr>
                    <pic:cNvPr id="0" name="eq_001.png"/>
                    <pic:cNvPicPr/>
                  </pic:nvPicPr>
                  <pic:blipFill>
                    <a:blip r:embed="rId18"/>
                    <a:stretch>
                      <a:fillRect/>
                    </a:stretch>
                  </pic:blipFill>
                  <pic:spPr>
                    <a:xfrm>
                      <a:off x="0" y="0"/>
                      <a:ext cx="1284000" cy="155448"/>
                    </a:xfrm>
                    <a:prstGeom prst="rect"/>
                  </pic:spPr>
                </pic:pic>
              </a:graphicData>
            </a:graphic>
          </wp:inline>
        </w:drawing>
      </w:r>
    </w:p>
    <w:p>
      <w:pPr>
        <w:spacing w:after="120" w:line="276" w:lineRule="auto"/>
      </w:pPr>
      <w:r>
        <w:rPr>
          <w:rFonts w:ascii="宋体" w:hAnsi="宋体" w:eastAsia="宋体"/>
          <w:sz w:val="21"/>
        </w:rPr>
        <w:t xml:space="preserve">对式（1）的置信度作对称归一化，其中 </w:t>
      </w:r>
      <w:r>
        <w:rPr>
          <w:rFonts w:ascii="宋体" w:hAnsi="宋体" w:eastAsia="宋体"/>
          <w:b w:val="0"/>
          <w:sz w:val="21"/>
        </w:rPr>
        <w:drawing>
          <wp:inline xmlns:a="http://schemas.openxmlformats.org/drawingml/2006/main" xmlns:pic="http://schemas.openxmlformats.org/drawingml/2006/picture">
            <wp:extent cx="130903" cy="155448"/>
            <wp:docPr id="11" name="Picture 11"/>
            <wp:cNvGraphicFramePr>
              <a:graphicFrameLocks noChangeAspect="1"/>
            </wp:cNvGraphicFramePr>
            <a:graphic>
              <a:graphicData uri="http://schemas.openxmlformats.org/drawingml/2006/picture">
                <pic:pic>
                  <pic:nvPicPr>
                    <pic:cNvPr id="0" name="inline_008.png"/>
                    <pic:cNvPicPr/>
                  </pic:nvPicPr>
                  <pic:blipFill>
                    <a:blip r:embed="rId19"/>
                    <a:stretch>
                      <a:fillRect/>
                    </a:stretch>
                  </pic:blipFill>
                  <pic:spPr>
                    <a:xfrm>
                      <a:off x="0" y="0"/>
                      <a:ext cx="130903" cy="155448"/>
                    </a:xfrm>
                    <a:prstGeom prst="rect"/>
                  </pic:spPr>
                </pic:pic>
              </a:graphicData>
            </a:graphic>
          </wp:inline>
        </w:drawing>
      </w:r>
      <w:r>
        <w:rPr>
          <w:rFonts w:ascii="宋体" w:hAnsi="宋体" w:eastAsia="宋体"/>
          <w:sz w:val="21"/>
        </w:rPr>
        <w:t xml:space="preserve"> 为预设的极小正数，用于防止分母为零：</w:t>
      </w:r>
    </w:p>
    <w:p>
      <w:pPr>
        <w:spacing w:after="120" w:before="60"/>
      </w:pPr>
      <w:r>
        <w:rPr>
          <w:b w:val="0"/>
        </w:rPr>
        <w:drawing>
          <wp:inline xmlns:a="http://schemas.openxmlformats.org/drawingml/2006/main" xmlns:pic="http://schemas.openxmlformats.org/drawingml/2006/picture">
            <wp:extent cx="1229982" cy="155448"/>
            <wp:docPr id="12" name="Picture 12"/>
            <wp:cNvGraphicFramePr>
              <a:graphicFrameLocks noChangeAspect="1"/>
            </wp:cNvGraphicFramePr>
            <a:graphic>
              <a:graphicData uri="http://schemas.openxmlformats.org/drawingml/2006/picture">
                <pic:pic>
                  <pic:nvPicPr>
                    <pic:cNvPr id="0" name="eq_002.png"/>
                    <pic:cNvPicPr/>
                  </pic:nvPicPr>
                  <pic:blipFill>
                    <a:blip r:embed="rId20"/>
                    <a:stretch>
                      <a:fillRect/>
                    </a:stretch>
                  </pic:blipFill>
                  <pic:spPr>
                    <a:xfrm>
                      <a:off x="0" y="0"/>
                      <a:ext cx="1229982" cy="155448"/>
                    </a:xfrm>
                    <a:prstGeom prst="rect"/>
                  </pic:spPr>
                </pic:pic>
              </a:graphicData>
            </a:graphic>
          </wp:inline>
        </w:drawing>
      </w:r>
    </w:p>
    <w:p>
      <w:pPr>
        <w:spacing w:after="120" w:line="276" w:lineRule="auto"/>
      </w:pPr>
      <w:r>
        <w:rPr>
          <w:rFonts w:ascii="宋体" w:hAnsi="宋体" w:eastAsia="宋体"/>
          <w:sz w:val="21"/>
        </w:rPr>
        <w:t>在每个元路径内先进行局部筛选，再按照可学习的语义权重聚合，并实施全局筛选：</w:t>
      </w:r>
    </w:p>
    <w:p>
      <w:pPr>
        <w:spacing w:after="120" w:before="60"/>
      </w:pPr>
      <w:r>
        <w:rPr>
          <w:b w:val="0"/>
        </w:rPr>
        <w:drawing>
          <wp:inline xmlns:a="http://schemas.openxmlformats.org/drawingml/2006/main" xmlns:pic="http://schemas.openxmlformats.org/drawingml/2006/picture">
            <wp:extent cx="1882863" cy="155448"/>
            <wp:docPr id="13" name="Picture 13"/>
            <wp:cNvGraphicFramePr>
              <a:graphicFrameLocks noChangeAspect="1"/>
            </wp:cNvGraphicFramePr>
            <a:graphic>
              <a:graphicData uri="http://schemas.openxmlformats.org/drawingml/2006/picture">
                <pic:pic>
                  <pic:nvPicPr>
                    <pic:cNvPr id="0" name="eq_003.png"/>
                    <pic:cNvPicPr/>
                  </pic:nvPicPr>
                  <pic:blipFill>
                    <a:blip r:embed="rId21"/>
                    <a:stretch>
                      <a:fillRect/>
                    </a:stretch>
                  </pic:blipFill>
                  <pic:spPr>
                    <a:xfrm>
                      <a:off x="0" y="0"/>
                      <a:ext cx="1882863" cy="155448"/>
                    </a:xfrm>
                    <a:prstGeom prst="rect"/>
                  </pic:spPr>
                </pic:pic>
              </a:graphicData>
            </a:graphic>
          </wp:inline>
        </w:drawing>
      </w:r>
    </w:p>
    <w:p>
      <w:pPr>
        <w:spacing w:after="120" w:line="276" w:lineRule="auto"/>
      </w:pPr>
      <w:r>
        <w:rPr>
          <w:rFonts w:ascii="宋体" w:hAnsi="宋体" w:eastAsia="宋体"/>
          <w:sz w:val="21"/>
        </w:rPr>
        <w:t>这里，\(\mathbb{I}(\cdot)\) 为示性函数。</w:t>
      </w:r>
      <w:r>
        <w:rPr>
          <w:rFonts w:ascii="宋体" w:hAnsi="宋体" w:eastAsia="宋体"/>
          <w:b w:val="0"/>
          <w:sz w:val="21"/>
        </w:rPr>
        <w:drawing>
          <wp:inline xmlns:a="http://schemas.openxmlformats.org/drawingml/2006/main" xmlns:pic="http://schemas.openxmlformats.org/drawingml/2006/picture">
            <wp:extent cx="193132" cy="155448"/>
            <wp:docPr id="14" name="Picture 14"/>
            <wp:cNvGraphicFramePr>
              <a:graphicFrameLocks noChangeAspect="1"/>
            </wp:cNvGraphicFramePr>
            <a:graphic>
              <a:graphicData uri="http://schemas.openxmlformats.org/drawingml/2006/picture">
                <pic:pic>
                  <pic:nvPicPr>
                    <pic:cNvPr id="0" name="inline_009.png"/>
                    <pic:cNvPicPr/>
                  </pic:nvPicPr>
                  <pic:blipFill>
                    <a:blip r:embed="rId22"/>
                    <a:stretch>
                      <a:fillRect/>
                    </a:stretch>
                  </pic:blipFill>
                  <pic:spPr>
                    <a:xfrm>
                      <a:off x="0" y="0"/>
                      <a:ext cx="193132" cy="155448"/>
                    </a:xfrm>
                    <a:prstGeom prst="rect"/>
                  </pic:spPr>
                </pic:pic>
              </a:graphicData>
            </a:graphic>
          </wp:inline>
        </w:drawing>
      </w:r>
      <w:r>
        <w:rPr>
          <w:rFonts w:ascii="宋体" w:hAnsi="宋体" w:eastAsia="宋体"/>
          <w:sz w:val="21"/>
        </w:rPr>
        <w:t xml:space="preserve"> 可由对每个元路径编码结果进行语义注意力归一化得到，也可由验证集约束下的可学习参数得到。若某一元路径筛选后不存在有效候选连接，则其对应贡献置零，并在计算语义权重时跳过或赋予极小权重。</w:t>
      </w:r>
    </w:p>
    <w:p>
      <w:pPr>
        <w:spacing w:after="120" w:line="276" w:lineRule="auto"/>
      </w:pPr>
      <w:r>
        <w:rPr>
          <w:rFonts w:ascii="宋体" w:hAnsi="宋体" w:eastAsia="宋体"/>
          <w:sz w:val="21"/>
        </w:rPr>
        <w:t xml:space="preserve">然后，仅由原始目标节点属性构造特征诱导参考视图。令 \(\mathcal{N}_K(i)\) 为 </w:t>
      </w:r>
      <w:r>
        <w:rPr>
          <w:rFonts w:ascii="宋体" w:hAnsi="宋体" w:eastAsia="宋体"/>
          <w:b w:val="0"/>
          <w:sz w:val="21"/>
        </w:rPr>
        <w:drawing>
          <wp:inline xmlns:a="http://schemas.openxmlformats.org/drawingml/2006/main" xmlns:pic="http://schemas.openxmlformats.org/drawingml/2006/picture">
            <wp:extent cx="544068" cy="155448"/>
            <wp:docPr id="15" name="Picture 15"/>
            <wp:cNvGraphicFramePr>
              <a:graphicFrameLocks noChangeAspect="1"/>
            </wp:cNvGraphicFramePr>
            <a:graphic>
              <a:graphicData uri="http://schemas.openxmlformats.org/drawingml/2006/picture">
                <pic:pic>
                  <pic:nvPicPr>
                    <pic:cNvPr id="0" name="inline_010.png"/>
                    <pic:cNvPicPr/>
                  </pic:nvPicPr>
                  <pic:blipFill>
                    <a:blip r:embed="rId23"/>
                    <a:stretch>
                      <a:fillRect/>
                    </a:stretch>
                  </pic:blipFill>
                  <pic:spPr>
                    <a:xfrm>
                      <a:off x="0" y="0"/>
                      <a:ext cx="544068" cy="155448"/>
                    </a:xfrm>
                    <a:prstGeom prst="rect"/>
                  </pic:spPr>
                </pic:pic>
              </a:graphicData>
            </a:graphic>
          </wp:inline>
        </w:drawing>
      </w:r>
      <w:r>
        <w:rPr>
          <w:rFonts w:ascii="宋体" w:hAnsi="宋体" w:eastAsia="宋体"/>
          <w:sz w:val="21"/>
        </w:rPr>
        <w:t xml:space="preserve"> 中与节点 (i) 的余弦相似度最高的 (K\) 个节点集合，则：</w:t>
      </w:r>
    </w:p>
    <w:p>
      <w:pPr>
        <w:spacing w:after="120" w:before="60"/>
      </w:pPr>
      <w:r>
        <w:rPr>
          <w:b w:val="0"/>
        </w:rPr>
        <w:drawing>
          <wp:inline xmlns:a="http://schemas.openxmlformats.org/drawingml/2006/main" xmlns:pic="http://schemas.openxmlformats.org/drawingml/2006/picture">
            <wp:extent cx="1696698" cy="155448"/>
            <wp:docPr id="16" name="Picture 16"/>
            <wp:cNvGraphicFramePr>
              <a:graphicFrameLocks noChangeAspect="1"/>
            </wp:cNvGraphicFramePr>
            <a:graphic>
              <a:graphicData uri="http://schemas.openxmlformats.org/drawingml/2006/picture">
                <pic:pic>
                  <pic:nvPicPr>
                    <pic:cNvPr id="0" name="eq_004.png"/>
                    <pic:cNvPicPr/>
                  </pic:nvPicPr>
                  <pic:blipFill>
                    <a:blip r:embed="rId24"/>
                    <a:stretch>
                      <a:fillRect/>
                    </a:stretch>
                  </pic:blipFill>
                  <pic:spPr>
                    <a:xfrm>
                      <a:off x="0" y="0"/>
                      <a:ext cx="1696698" cy="155448"/>
                    </a:xfrm>
                    <a:prstGeom prst="rect"/>
                  </pic:spPr>
                </pic:pic>
              </a:graphicData>
            </a:graphic>
          </wp:inline>
        </w:drawing>
      </w:r>
    </w:p>
    <w:p>
      <w:pPr>
        <w:spacing w:after="120" w:line="276" w:lineRule="auto"/>
      </w:pPr>
      <w:r>
        <w:rPr>
          <w:rFonts w:ascii="宋体" w:hAnsi="宋体" w:eastAsia="宋体"/>
          <w:sz w:val="21"/>
        </w:rPr>
        <w:t xml:space="preserve">可选地，将 </w:t>
      </w:r>
      <w:r>
        <w:rPr>
          <w:rFonts w:ascii="宋体" w:hAnsi="宋体" w:eastAsia="宋体"/>
          <w:b w:val="0"/>
          <w:sz w:val="21"/>
        </w:rPr>
        <w:drawing>
          <wp:inline xmlns:a="http://schemas.openxmlformats.org/drawingml/2006/main" xmlns:pic="http://schemas.openxmlformats.org/drawingml/2006/picture">
            <wp:extent cx="362712" cy="155448"/>
            <wp:docPr id="17" name="Picture 17"/>
            <wp:cNvGraphicFramePr>
              <a:graphicFrameLocks noChangeAspect="1"/>
            </wp:cNvGraphicFramePr>
            <a:graphic>
              <a:graphicData uri="http://schemas.openxmlformats.org/drawingml/2006/picture">
                <pic:pic>
                  <pic:nvPicPr>
                    <pic:cNvPr id="0" name="inline_011.png"/>
                    <pic:cNvPicPr/>
                  </pic:nvPicPr>
                  <pic:blipFill>
                    <a:blip r:embed="rId25"/>
                    <a:stretch>
                      <a:fillRect/>
                    </a:stretch>
                  </pic:blipFill>
                  <pic:spPr>
                    <a:xfrm>
                      <a:off x="0" y="0"/>
                      <a:ext cx="362712" cy="155448"/>
                    </a:xfrm>
                    <a:prstGeom prst="rect"/>
                  </pic:spPr>
                </pic:pic>
              </a:graphicData>
            </a:graphic>
          </wp:inline>
        </w:drawing>
      </w:r>
      <w:r>
        <w:rPr>
          <w:rFonts w:ascii="宋体" w:hAnsi="宋体" w:eastAsia="宋体"/>
          <w:sz w:val="21"/>
        </w:rPr>
        <w:t xml:space="preserve"> 与其转置取并集或取平均，形成无向参考视图。与 </w:t>
      </w:r>
      <w:r>
        <w:rPr>
          <w:rFonts w:ascii="宋体" w:hAnsi="宋体" w:eastAsia="宋体"/>
          <w:b w:val="0"/>
          <w:sz w:val="21"/>
        </w:rPr>
        <w:drawing>
          <wp:inline xmlns:a="http://schemas.openxmlformats.org/drawingml/2006/main" xmlns:pic="http://schemas.openxmlformats.org/drawingml/2006/picture">
            <wp:extent cx="397256" cy="155448"/>
            <wp:docPr id="18" name="Picture 18"/>
            <wp:cNvGraphicFramePr>
              <a:graphicFrameLocks noChangeAspect="1"/>
            </wp:cNvGraphicFramePr>
            <a:graphic>
              <a:graphicData uri="http://schemas.openxmlformats.org/drawingml/2006/picture">
                <pic:pic>
                  <pic:nvPicPr>
                    <pic:cNvPr id="0" name="inline_012.png"/>
                    <pic:cNvPicPr/>
                  </pic:nvPicPr>
                  <pic:blipFill>
                    <a:blip r:embed="rId26"/>
                    <a:stretch>
                      <a:fillRect/>
                    </a:stretch>
                  </pic:blipFill>
                  <pic:spPr>
                    <a:xfrm>
                      <a:off x="0" y="0"/>
                      <a:ext cx="397256" cy="155448"/>
                    </a:xfrm>
                    <a:prstGeom prst="rect"/>
                  </pic:spPr>
                </pic:pic>
              </a:graphicData>
            </a:graphic>
          </wp:inline>
        </w:drawing>
      </w:r>
      <w:r>
        <w:rPr>
          <w:rFonts w:ascii="宋体" w:hAnsi="宋体" w:eastAsia="宋体"/>
          <w:sz w:val="21"/>
        </w:rPr>
        <w:t xml:space="preserve"> 相比，式（4）不依赖观测边集合 (E\)，因而在仅有结构扰动的应用条件下可提供相对独立的参考连接。</w:t>
      </w:r>
    </w:p>
    <w:p>
      <w:pPr>
        <w:spacing w:after="120" w:line="276" w:lineRule="auto"/>
      </w:pPr>
      <w:r>
        <w:rPr>
          <w:rFonts w:ascii="宋体" w:hAnsi="宋体" w:eastAsia="宋体"/>
          <w:sz w:val="21"/>
        </w:rPr>
        <w:t xml:space="preserve">分别以图注意力网络、图卷积网络或其他消息传递网络编码两个视图，得到 </w:t>
      </w:r>
      <w:r>
        <w:rPr>
          <w:rFonts w:ascii="宋体" w:hAnsi="宋体" w:eastAsia="宋体"/>
          <w:b w:val="0"/>
          <w:sz w:val="21"/>
        </w:rPr>
        <w:drawing>
          <wp:inline xmlns:a="http://schemas.openxmlformats.org/drawingml/2006/main" xmlns:pic="http://schemas.openxmlformats.org/drawingml/2006/picture">
            <wp:extent cx="222573" cy="155448"/>
            <wp:docPr id="19" name="Picture 19"/>
            <wp:cNvGraphicFramePr>
              <a:graphicFrameLocks noChangeAspect="1"/>
            </wp:cNvGraphicFramePr>
            <a:graphic>
              <a:graphicData uri="http://schemas.openxmlformats.org/drawingml/2006/picture">
                <pic:pic>
                  <pic:nvPicPr>
                    <pic:cNvPr id="0" name="inline_013.png"/>
                    <pic:cNvPicPr/>
                  </pic:nvPicPr>
                  <pic:blipFill>
                    <a:blip r:embed="rId27"/>
                    <a:stretch>
                      <a:fillRect/>
                    </a:stretch>
                  </pic:blipFill>
                  <pic:spPr>
                    <a:xfrm>
                      <a:off x="0" y="0"/>
                      <a:ext cx="222573" cy="155448"/>
                    </a:xfrm>
                    <a:prstGeom prst="rect"/>
                  </pic:spPr>
                </pic:pic>
              </a:graphicData>
            </a:graphic>
          </wp:inline>
        </w:drawing>
      </w:r>
      <w:r>
        <w:rPr>
          <w:rFonts w:ascii="宋体" w:hAnsi="宋体" w:eastAsia="宋体"/>
          <w:sz w:val="21"/>
        </w:rPr>
        <w:t xml:space="preserve"> 和 </w:t>
      </w:r>
      <w:r>
        <w:rPr>
          <w:rFonts w:ascii="宋体" w:hAnsi="宋体" w:eastAsia="宋体"/>
          <w:b w:val="0"/>
          <w:sz w:val="21"/>
        </w:rPr>
        <w:drawing>
          <wp:inline xmlns:a="http://schemas.openxmlformats.org/drawingml/2006/main" xmlns:pic="http://schemas.openxmlformats.org/drawingml/2006/picture">
            <wp:extent cx="219902" cy="155448"/>
            <wp:docPr id="20" name="Picture 20"/>
            <wp:cNvGraphicFramePr>
              <a:graphicFrameLocks noChangeAspect="1"/>
            </wp:cNvGraphicFramePr>
            <a:graphic>
              <a:graphicData uri="http://schemas.openxmlformats.org/drawingml/2006/picture">
                <pic:pic>
                  <pic:nvPicPr>
                    <pic:cNvPr id="0" name="inline_014.png"/>
                    <pic:cNvPicPr/>
                  </pic:nvPicPr>
                  <pic:blipFill>
                    <a:blip r:embed="rId28"/>
                    <a:stretch>
                      <a:fillRect/>
                    </a:stretch>
                  </pic:blipFill>
                  <pic:spPr>
                    <a:xfrm>
                      <a:off x="0" y="0"/>
                      <a:ext cx="219902" cy="155448"/>
                    </a:xfrm>
                    <a:prstGeom prst="rect"/>
                  </pic:spPr>
                </pic:pic>
              </a:graphicData>
            </a:graphic>
          </wp:inline>
        </w:drawing>
      </w:r>
      <w:r>
        <w:rPr>
          <w:rFonts w:ascii="宋体" w:hAnsi="宋体" w:eastAsia="宋体"/>
          <w:sz w:val="21"/>
        </w:rPr>
        <w:t xml:space="preserve">。令 </w:t>
      </w:r>
      <w:r>
        <w:rPr>
          <w:rFonts w:ascii="宋体" w:hAnsi="宋体" w:eastAsia="宋体"/>
          <w:b w:val="0"/>
          <w:sz w:val="21"/>
        </w:rPr>
        <w:drawing>
          <wp:inline xmlns:a="http://schemas.openxmlformats.org/drawingml/2006/main" xmlns:pic="http://schemas.openxmlformats.org/drawingml/2006/picture">
            <wp:extent cx="495130" cy="155448"/>
            <wp:docPr id="21" name="Picture 21"/>
            <wp:cNvGraphicFramePr>
              <a:graphicFrameLocks noChangeAspect="1"/>
            </wp:cNvGraphicFramePr>
            <a:graphic>
              <a:graphicData uri="http://schemas.openxmlformats.org/drawingml/2006/picture">
                <pic:pic>
                  <pic:nvPicPr>
                    <pic:cNvPr id="0" name="inline_015.png"/>
                    <pic:cNvPicPr/>
                  </pic:nvPicPr>
                  <pic:blipFill>
                    <a:blip r:embed="rId29"/>
                    <a:stretch>
                      <a:fillRect/>
                    </a:stretch>
                  </pic:blipFill>
                  <pic:spPr>
                    <a:xfrm>
                      <a:off x="0" y="0"/>
                      <a:ext cx="495130" cy="155448"/>
                    </a:xfrm>
                    <a:prstGeom prst="rect"/>
                  </pic:spPr>
                </pic:pic>
              </a:graphicData>
            </a:graphic>
          </wp:inline>
        </w:drawing>
      </w:r>
      <w:r>
        <w:rPr>
          <w:rFonts w:ascii="宋体" w:hAnsi="宋体" w:eastAsia="宋体"/>
          <w:sz w:val="21"/>
        </w:rPr>
        <w:t xml:space="preserve"> 为一个训练批次，使用余弦相似度 \(\operatorname{sim}(\cdot,\cdot)\) 构造同一节点正样本和不同节点负样本的双向对比损失：</w:t>
      </w:r>
    </w:p>
    <w:p>
      <w:pPr>
        <w:spacing w:after="120" w:before="60"/>
      </w:pPr>
      <w:r>
        <w:rPr>
          <w:b w:val="0"/>
        </w:rPr>
        <w:drawing>
          <wp:inline xmlns:a="http://schemas.openxmlformats.org/drawingml/2006/main" xmlns:pic="http://schemas.openxmlformats.org/drawingml/2006/picture">
            <wp:extent cx="1788588" cy="155448"/>
            <wp:docPr id="22" name="Picture 22"/>
            <wp:cNvGraphicFramePr>
              <a:graphicFrameLocks noChangeAspect="1"/>
            </wp:cNvGraphicFramePr>
            <a:graphic>
              <a:graphicData uri="http://schemas.openxmlformats.org/drawingml/2006/picture">
                <pic:pic>
                  <pic:nvPicPr>
                    <pic:cNvPr id="0" name="eq_005.png"/>
                    <pic:cNvPicPr/>
                  </pic:nvPicPr>
                  <pic:blipFill>
                    <a:blip r:embed="rId30"/>
                    <a:stretch>
                      <a:fillRect/>
                    </a:stretch>
                  </pic:blipFill>
                  <pic:spPr>
                    <a:xfrm>
                      <a:off x="0" y="0"/>
                      <a:ext cx="1788588" cy="155448"/>
                    </a:xfrm>
                    <a:prstGeom prst="rect"/>
                  </pic:spPr>
                </pic:pic>
              </a:graphicData>
            </a:graphic>
          </wp:inline>
        </w:drawing>
      </w:r>
    </w:p>
    <w:p>
      <w:pPr>
        <w:spacing w:after="120" w:line="276" w:lineRule="auto"/>
      </w:pPr>
      <w:r>
        <w:rPr>
          <w:rFonts w:ascii="宋体" w:hAnsi="宋体" w:eastAsia="宋体"/>
          <w:sz w:val="21"/>
        </w:rPr>
        <w:t>将两个视图嵌入拼接或以注意力方式融合后进行分类，训练时使用下式联合优化：</w:t>
      </w:r>
    </w:p>
    <w:p>
      <w:pPr>
        <w:spacing w:after="120" w:before="60"/>
      </w:pPr>
      <w:r>
        <w:rPr>
          <w:b w:val="0"/>
        </w:rPr>
        <w:drawing>
          <wp:inline xmlns:a="http://schemas.openxmlformats.org/drawingml/2006/main" xmlns:pic="http://schemas.openxmlformats.org/drawingml/2006/picture">
            <wp:extent cx="2510197" cy="155448"/>
            <wp:docPr id="23" name="Picture 23"/>
            <wp:cNvGraphicFramePr>
              <a:graphicFrameLocks noChangeAspect="1"/>
            </wp:cNvGraphicFramePr>
            <a:graphic>
              <a:graphicData uri="http://schemas.openxmlformats.org/drawingml/2006/picture">
                <pic:pic>
                  <pic:nvPicPr>
                    <pic:cNvPr id="0" name="eq_006.png"/>
                    <pic:cNvPicPr/>
                  </pic:nvPicPr>
                  <pic:blipFill>
                    <a:blip r:embed="rId31"/>
                    <a:stretch>
                      <a:fillRect/>
                    </a:stretch>
                  </pic:blipFill>
                  <pic:spPr>
                    <a:xfrm>
                      <a:off x="0" y="0"/>
                      <a:ext cx="2510197"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351197" cy="155448"/>
            <wp:docPr id="24" name="Picture 24"/>
            <wp:cNvGraphicFramePr>
              <a:graphicFrameLocks noChangeAspect="1"/>
            </wp:cNvGraphicFramePr>
            <a:graphic>
              <a:graphicData uri="http://schemas.openxmlformats.org/drawingml/2006/picture">
                <pic:pic>
                  <pic:nvPicPr>
                    <pic:cNvPr id="0" name="inline_016.png"/>
                    <pic:cNvPicPr/>
                  </pic:nvPicPr>
                  <pic:blipFill>
                    <a:blip r:embed="rId32"/>
                    <a:stretch>
                      <a:fillRect/>
                    </a:stretch>
                  </pic:blipFill>
                  <pic:spPr>
                    <a:xfrm>
                      <a:off x="0" y="0"/>
                      <a:ext cx="351197" cy="155448"/>
                    </a:xfrm>
                    <a:prstGeom prst="rect"/>
                  </pic:spPr>
                </pic:pic>
              </a:graphicData>
            </a:graphic>
          </wp:inline>
        </w:drawing>
      </w:r>
      <w:r>
        <w:rPr>
          <w:rFonts w:ascii="宋体" w:hAnsi="宋体" w:eastAsia="宋体"/>
          <w:sz w:val="21"/>
        </w:rPr>
        <w:t xml:space="preserve"> 可由元路径语义编码器的辅助分类任务产生；不采用辅助任务时取 </w:t>
      </w:r>
      <w:r>
        <w:rPr>
          <w:rFonts w:ascii="宋体" w:hAnsi="宋体" w:eastAsia="宋体"/>
          <w:b w:val="0"/>
          <w:sz w:val="21"/>
        </w:rPr>
        <w:drawing>
          <wp:inline xmlns:a="http://schemas.openxmlformats.org/drawingml/2006/main" xmlns:pic="http://schemas.openxmlformats.org/drawingml/2006/picture">
            <wp:extent cx="639064" cy="155448"/>
            <wp:docPr id="25" name="Picture 25"/>
            <wp:cNvGraphicFramePr>
              <a:graphicFrameLocks noChangeAspect="1"/>
            </wp:cNvGraphicFramePr>
            <a:graphic>
              <a:graphicData uri="http://schemas.openxmlformats.org/drawingml/2006/picture">
                <pic:pic>
                  <pic:nvPicPr>
                    <pic:cNvPr id="0" name="inline_017.png"/>
                    <pic:cNvPicPr/>
                  </pic:nvPicPr>
                  <pic:blipFill>
                    <a:blip r:embed="rId33"/>
                    <a:stretch>
                      <a:fillRect/>
                    </a:stretch>
                  </pic:blipFill>
                  <pic:spPr>
                    <a:xfrm>
                      <a:off x="0" y="0"/>
                      <a:ext cx="639064" cy="155448"/>
                    </a:xfrm>
                    <a:prstGeom prst="rect"/>
                  </pic:spPr>
                </pic:pic>
              </a:graphicData>
            </a:graphic>
          </wp:inline>
        </w:drawing>
      </w:r>
      <w:r>
        <w:rPr>
          <w:rFonts w:ascii="宋体" w:hAnsi="宋体" w:eastAsia="宋体"/>
          <w:sz w:val="21"/>
        </w:rPr>
        <w:t>。在部署阶段，仅需保留得到的双视图建图、编码、融合和分类过程。</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作用</w:t>
            </w:r>
          </w:p>
        </w:tc>
        <w:tc>
          <w:tcPr>
            <w:tcW w:type="dxa" w:w="2160"/>
          </w:tcPr>
          <w:p>
            <w:r>
              <w:rPr>
                <w:rFonts w:ascii="宋体" w:hAnsi="宋体" w:eastAsia="宋体"/>
                <w:sz w:val="20"/>
              </w:rPr>
            </w:r>
            <w:r>
              <w:rPr>
                <w:rFonts w:ascii="宋体" w:hAnsi="宋体" w:eastAsia="宋体"/>
                <w:sz w:val="20"/>
              </w:rPr>
              <w:t>设置方式</w:t>
            </w:r>
          </w:p>
        </w:tc>
      </w:tr>
      <w:tr>
        <w:tc>
          <w:tcPr>
            <w:tcW w:type="dxa" w:w="2160"/>
          </w:tcPr>
          <w:p>
            <w:r>
              <w:rPr>
                <w:rFonts w:ascii="宋体" w:hAnsi="宋体" w:eastAsia="宋体"/>
                <w:sz w:val="20"/>
              </w:rPr>
            </w:r>
            <w:r>
              <w:rPr>
                <w:rFonts w:ascii="宋体" w:hAnsi="宋体" w:eastAsia="宋体"/>
                <w:sz w:val="20"/>
              </w:rPr>
              <w:t>元路径局部筛选阈值</w:t>
            </w:r>
          </w:p>
        </w:tc>
        <w:tc>
          <w:tcPr>
            <w:tcW w:type="dxa" w:w="2160"/>
          </w:tcPr>
          <w:p>
            <w:r>
              <w:rPr>
                <w:rFonts w:ascii="宋体" w:hAnsi="宋体" w:eastAsia="宋体"/>
                <w:sz w:val="20"/>
              </w:rPr>
            </w:r>
            <w:r>
              <w:rPr>
                <w:rFonts w:ascii="宋体" w:hAnsi="宋体" w:eastAsia="宋体"/>
                <w:sz w:val="20"/>
              </w:rPr>
              <w:t>(\gamma_m\)</w:t>
            </w:r>
          </w:p>
        </w:tc>
        <w:tc>
          <w:tcPr>
            <w:tcW w:type="dxa" w:w="2160"/>
          </w:tcPr>
          <w:p>
            <w:r>
              <w:rPr>
                <w:rFonts w:ascii="宋体" w:hAnsi="宋体" w:eastAsia="宋体"/>
                <w:sz w:val="20"/>
              </w:rPr>
            </w:r>
            <w:r>
              <w:rPr>
                <w:rFonts w:ascii="宋体" w:hAnsi="宋体" w:eastAsia="宋体"/>
                <w:sz w:val="20"/>
              </w:rPr>
              <w:t>剔除元路径内低属性一致性连接</w:t>
            </w:r>
          </w:p>
        </w:tc>
        <w:tc>
          <w:tcPr>
            <w:tcW w:type="dxa" w:w="2160"/>
          </w:tcPr>
          <w:p>
            <w:r>
              <w:rPr>
                <w:rFonts w:ascii="宋体" w:hAnsi="宋体" w:eastAsia="宋体"/>
                <w:sz w:val="20"/>
              </w:rPr>
            </w:r>
            <w:r>
              <w:rPr>
                <w:rFonts w:ascii="宋体" w:hAnsi="宋体" w:eastAsia="宋体"/>
                <w:sz w:val="20"/>
              </w:rPr>
              <w:t>可按元路径独立设置，并由验证集选择</w:t>
            </w:r>
          </w:p>
        </w:tc>
      </w:tr>
      <w:tr>
        <w:tc>
          <w:tcPr>
            <w:tcW w:type="dxa" w:w="2160"/>
          </w:tcPr>
          <w:p>
            <w:r>
              <w:rPr>
                <w:rFonts w:ascii="宋体" w:hAnsi="宋体" w:eastAsia="宋体"/>
                <w:sz w:val="20"/>
              </w:rPr>
            </w:r>
            <w:r>
              <w:rPr>
                <w:rFonts w:ascii="宋体" w:hAnsi="宋体" w:eastAsia="宋体"/>
                <w:sz w:val="20"/>
              </w:rPr>
              <w:t>全局筛选阈值</w:t>
            </w:r>
          </w:p>
        </w:tc>
        <w:tc>
          <w:tcPr>
            <w:tcW w:type="dxa" w:w="2160"/>
          </w:tcPr>
          <w:p>
            <w:r>
              <w:rPr>
                <w:rFonts w:ascii="宋体" w:hAnsi="宋体" w:eastAsia="宋体"/>
                <w:sz w:val="20"/>
              </w:rPr>
            </w:r>
            <w:r>
              <w:rPr>
                <w:rFonts w:ascii="宋体" w:hAnsi="宋体" w:eastAsia="宋体"/>
                <w:sz w:val="20"/>
              </w:rPr>
              <w:t>(\gamma_s\)</w:t>
            </w:r>
          </w:p>
        </w:tc>
        <w:tc>
          <w:tcPr>
            <w:tcW w:type="dxa" w:w="2160"/>
          </w:tcPr>
          <w:p>
            <w:r>
              <w:rPr>
                <w:rFonts w:ascii="宋体" w:hAnsi="宋体" w:eastAsia="宋体"/>
                <w:sz w:val="20"/>
              </w:rPr>
            </w:r>
            <w:r>
              <w:rPr>
                <w:rFonts w:ascii="宋体" w:hAnsi="宋体" w:eastAsia="宋体"/>
                <w:sz w:val="20"/>
              </w:rPr>
              <w:t>剔除语义聚合后仍低可信的连接</w:t>
            </w:r>
          </w:p>
        </w:tc>
        <w:tc>
          <w:tcPr>
            <w:tcW w:type="dxa" w:w="2160"/>
          </w:tcPr>
          <w:p>
            <w:r>
              <w:rPr>
                <w:rFonts w:ascii="宋体" w:hAnsi="宋体" w:eastAsia="宋体"/>
                <w:sz w:val="20"/>
              </w:rPr>
            </w:r>
            <w:r>
              <w:rPr>
                <w:rFonts w:ascii="宋体" w:hAnsi="宋体" w:eastAsia="宋体"/>
                <w:sz w:val="20"/>
              </w:rPr>
              <w:t>由验证集选择</w:t>
            </w:r>
          </w:p>
        </w:tc>
      </w:tr>
      <w:tr>
        <w:tc>
          <w:tcPr>
            <w:tcW w:type="dxa" w:w="2160"/>
          </w:tcPr>
          <w:p>
            <w:r>
              <w:rPr>
                <w:rFonts w:ascii="宋体" w:hAnsi="宋体" w:eastAsia="宋体"/>
                <w:sz w:val="20"/>
              </w:rPr>
            </w:r>
            <w:r>
              <w:rPr>
                <w:rFonts w:ascii="宋体" w:hAnsi="宋体" w:eastAsia="宋体"/>
                <w:sz w:val="20"/>
              </w:rPr>
              <w:t>语义权重</w:t>
            </w:r>
          </w:p>
        </w:tc>
        <w:tc>
          <w:tcPr>
            <w:tcW w:type="dxa" w:w="2160"/>
          </w:tcPr>
          <w:p>
            <w:r>
              <w:rPr>
                <w:rFonts w:ascii="宋体" w:hAnsi="宋体" w:eastAsia="宋体"/>
                <w:sz w:val="20"/>
              </w:rPr>
            </w:r>
            <w:r>
              <w:rPr>
                <w:rFonts w:ascii="宋体" w:hAnsi="宋体" w:eastAsia="宋体"/>
                <w:sz w:val="20"/>
              </w:rPr>
              <w:t>(\beta_m\)</w:t>
            </w:r>
          </w:p>
        </w:tc>
        <w:tc>
          <w:tcPr>
            <w:tcW w:type="dxa" w:w="2160"/>
          </w:tcPr>
          <w:p>
            <w:r>
              <w:rPr>
                <w:rFonts w:ascii="宋体" w:hAnsi="宋体" w:eastAsia="宋体"/>
                <w:sz w:val="20"/>
              </w:rPr>
            </w:r>
            <w:r>
              <w:rPr>
                <w:rFonts w:ascii="宋体" w:hAnsi="宋体" w:eastAsia="宋体"/>
                <w:sz w:val="20"/>
              </w:rPr>
              <w:t>平衡不同元路径的任务相关性</w:t>
            </w:r>
          </w:p>
        </w:tc>
        <w:tc>
          <w:tcPr>
            <w:tcW w:type="dxa" w:w="2160"/>
          </w:tcPr>
          <w:p>
            <w:r>
              <w:rPr>
                <w:rFonts w:ascii="宋体" w:hAnsi="宋体" w:eastAsia="宋体"/>
                <w:sz w:val="20"/>
              </w:rPr>
            </w:r>
            <w:r>
              <w:rPr>
                <w:rFonts w:ascii="宋体" w:hAnsi="宋体" w:eastAsia="宋体"/>
                <w:sz w:val="20"/>
              </w:rPr>
              <w:t>注意力归一化或可学习归一化参数</w:t>
            </w:r>
          </w:p>
        </w:tc>
      </w:tr>
      <w:tr>
        <w:tc>
          <w:tcPr>
            <w:tcW w:type="dxa" w:w="2160"/>
          </w:tcPr>
          <w:p>
            <w:r>
              <w:rPr>
                <w:rFonts w:ascii="宋体" w:hAnsi="宋体" w:eastAsia="宋体"/>
                <w:sz w:val="20"/>
              </w:rPr>
            </w:r>
            <w:r>
              <w:rPr>
                <w:rFonts w:ascii="宋体" w:hAnsi="宋体" w:eastAsia="宋体"/>
                <w:sz w:val="20"/>
              </w:rPr>
              <w:t>特征近邻数</w:t>
            </w:r>
          </w:p>
        </w:tc>
        <w:tc>
          <w:tcPr>
            <w:tcW w:type="dxa" w:w="2160"/>
          </w:tcPr>
          <w:p>
            <w:r>
              <w:rPr>
                <w:rFonts w:ascii="宋体" w:hAnsi="宋体" w:eastAsia="宋体"/>
                <w:sz w:val="20"/>
              </w:rPr>
            </w:r>
            <w:r>
              <w:rPr>
                <w:rFonts w:ascii="宋体" w:hAnsi="宋体" w:eastAsia="宋体"/>
                <w:sz w:val="20"/>
              </w:rPr>
              <w:t>(K\)</w:t>
            </w:r>
          </w:p>
        </w:tc>
        <w:tc>
          <w:tcPr>
            <w:tcW w:type="dxa" w:w="2160"/>
          </w:tcPr>
          <w:p>
            <w:r>
              <w:rPr>
                <w:rFonts w:ascii="宋体" w:hAnsi="宋体" w:eastAsia="宋体"/>
                <w:sz w:val="20"/>
              </w:rPr>
            </w:r>
            <w:r>
              <w:rPr>
                <w:rFonts w:ascii="宋体" w:hAnsi="宋体" w:eastAsia="宋体"/>
                <w:sz w:val="20"/>
              </w:rPr>
              <w:t>控制特征诱导参考视图的稀疏度</w:t>
            </w:r>
          </w:p>
        </w:tc>
        <w:tc>
          <w:tcPr>
            <w:tcW w:type="dxa" w:w="2160"/>
          </w:tcPr>
          <w:p>
            <w:r>
              <w:rPr>
                <w:rFonts w:ascii="宋体" w:hAnsi="宋体" w:eastAsia="宋体"/>
                <w:sz w:val="20"/>
              </w:rPr>
            </w:r>
            <w:r>
              <w:rPr>
                <w:rFonts w:ascii="宋体" w:hAnsi="宋体" w:eastAsia="宋体"/>
                <w:sz w:val="20"/>
              </w:rPr>
              <w:t>正整数；优选在 5 至 50 范围内搜索</w:t>
            </w:r>
          </w:p>
        </w:tc>
      </w:tr>
      <w:tr>
        <w:tc>
          <w:tcPr>
            <w:tcW w:type="dxa" w:w="2160"/>
          </w:tcPr>
          <w:p>
            <w:r>
              <w:rPr>
                <w:rFonts w:ascii="宋体" w:hAnsi="宋体" w:eastAsia="宋体"/>
                <w:sz w:val="20"/>
              </w:rPr>
            </w:r>
            <w:r>
              <w:rPr>
                <w:rFonts w:ascii="宋体" w:hAnsi="宋体" w:eastAsia="宋体"/>
                <w:sz w:val="20"/>
              </w:rPr>
              <w:t>对比温度</w:t>
            </w:r>
          </w:p>
        </w:tc>
        <w:tc>
          <w:tcPr>
            <w:tcW w:type="dxa" w:w="2160"/>
          </w:tcPr>
          <w:p>
            <w:r>
              <w:rPr>
                <w:rFonts w:ascii="宋体" w:hAnsi="宋体" w:eastAsia="宋体"/>
                <w:sz w:val="20"/>
              </w:rPr>
            </w:r>
            <w:r>
              <w:rPr>
                <w:rFonts w:ascii="宋体" w:hAnsi="宋体" w:eastAsia="宋体"/>
                <w:sz w:val="20"/>
              </w:rPr>
              <w:t>(\tau\)</w:t>
            </w:r>
          </w:p>
        </w:tc>
        <w:tc>
          <w:tcPr>
            <w:tcW w:type="dxa" w:w="2160"/>
          </w:tcPr>
          <w:p>
            <w:r>
              <w:rPr>
                <w:rFonts w:ascii="宋体" w:hAnsi="宋体" w:eastAsia="宋体"/>
                <w:sz w:val="20"/>
              </w:rPr>
            </w:r>
            <w:r>
              <w:rPr>
                <w:rFonts w:ascii="宋体" w:hAnsi="宋体" w:eastAsia="宋体"/>
                <w:sz w:val="20"/>
              </w:rPr>
              <w:t>控制正负样本相似度分布的平滑程度</w:t>
            </w:r>
          </w:p>
        </w:tc>
        <w:tc>
          <w:tcPr>
            <w:tcW w:type="dxa" w:w="2160"/>
          </w:tcPr>
          <w:p>
            <w:r>
              <w:rPr>
                <w:rFonts w:ascii="宋体" w:hAnsi="宋体" w:eastAsia="宋体"/>
                <w:sz w:val="20"/>
              </w:rPr>
            </w:r>
            <w:r>
              <w:rPr>
                <w:rFonts w:ascii="宋体" w:hAnsi="宋体" w:eastAsia="宋体"/>
                <w:sz w:val="20"/>
              </w:rPr>
              <w:t>正实数；优选在 0.05 至 1 的范围内选择</w:t>
            </w:r>
          </w:p>
        </w:tc>
      </w:tr>
      <w:tr>
        <w:tc>
          <w:tcPr>
            <w:tcW w:type="dxa" w:w="2160"/>
          </w:tcPr>
          <w:p>
            <w:r>
              <w:rPr>
                <w:rFonts w:ascii="宋体" w:hAnsi="宋体" w:eastAsia="宋体"/>
                <w:sz w:val="20"/>
              </w:rPr>
            </w:r>
            <w:r>
              <w:rPr>
                <w:rFonts w:ascii="宋体" w:hAnsi="宋体" w:eastAsia="宋体"/>
                <w:sz w:val="20"/>
              </w:rPr>
              <w:t>对比损失权重</w:t>
            </w:r>
          </w:p>
        </w:tc>
        <w:tc>
          <w:tcPr>
            <w:tcW w:type="dxa" w:w="2160"/>
          </w:tcPr>
          <w:p>
            <w:r>
              <w:rPr>
                <w:rFonts w:ascii="宋体" w:hAnsi="宋体" w:eastAsia="宋体"/>
                <w:sz w:val="20"/>
              </w:rPr>
            </w:r>
            <w:r>
              <w:rPr>
                <w:rFonts w:ascii="宋体" w:hAnsi="宋体" w:eastAsia="宋体"/>
                <w:sz w:val="20"/>
              </w:rPr>
              <w:t>(\lambda_{\mathrm{cl}}\)</w:t>
            </w:r>
          </w:p>
        </w:tc>
        <w:tc>
          <w:tcPr>
            <w:tcW w:type="dxa" w:w="2160"/>
          </w:tcPr>
          <w:p>
            <w:r>
              <w:rPr>
                <w:rFonts w:ascii="宋体" w:hAnsi="宋体" w:eastAsia="宋体"/>
                <w:sz w:val="20"/>
              </w:rPr>
            </w:r>
            <w:r>
              <w:rPr>
                <w:rFonts w:ascii="宋体" w:hAnsi="宋体" w:eastAsia="宋体"/>
                <w:sz w:val="20"/>
              </w:rPr>
              <w:t>平衡分类目标与跨视图一致性目标</w:t>
            </w:r>
          </w:p>
        </w:tc>
        <w:tc>
          <w:tcPr>
            <w:tcW w:type="dxa" w:w="2160"/>
          </w:tcPr>
          <w:p>
            <w:r>
              <w:rPr>
                <w:rFonts w:ascii="宋体" w:hAnsi="宋体" w:eastAsia="宋体"/>
                <w:sz w:val="20"/>
              </w:rPr>
            </w:r>
            <w:r>
              <w:rPr>
                <w:rFonts w:ascii="宋体" w:hAnsi="宋体" w:eastAsia="宋体"/>
                <w:sz w:val="20"/>
              </w:rPr>
              <w:t>非负实数；由验证集选择</w:t>
            </w:r>
          </w:p>
        </w:tc>
      </w:tr>
      <w:tr>
        <w:tc>
          <w:tcPr>
            <w:tcW w:type="dxa" w:w="2160"/>
          </w:tcPr>
          <w:p>
            <w:r>
              <w:rPr>
                <w:rFonts w:ascii="宋体" w:hAnsi="宋体" w:eastAsia="宋体"/>
                <w:sz w:val="20"/>
              </w:rPr>
            </w:r>
            <w:r>
              <w:rPr>
                <w:rFonts w:ascii="宋体" w:hAnsi="宋体" w:eastAsia="宋体"/>
                <w:sz w:val="20"/>
              </w:rPr>
              <w:t>辅助损失权重</w:t>
            </w:r>
          </w:p>
        </w:tc>
        <w:tc>
          <w:tcPr>
            <w:tcW w:type="dxa" w:w="2160"/>
          </w:tcPr>
          <w:p>
            <w:r>
              <w:rPr>
                <w:rFonts w:ascii="宋体" w:hAnsi="宋体" w:eastAsia="宋体"/>
                <w:sz w:val="20"/>
              </w:rPr>
            </w:r>
            <w:r>
              <w:rPr>
                <w:rFonts w:ascii="宋体" w:hAnsi="宋体" w:eastAsia="宋体"/>
                <w:sz w:val="20"/>
              </w:rPr>
              <w:t>(\lambda_{\mathrm{aux}}\)</w:t>
            </w:r>
          </w:p>
        </w:tc>
        <w:tc>
          <w:tcPr>
            <w:tcW w:type="dxa" w:w="2160"/>
          </w:tcPr>
          <w:p>
            <w:r>
              <w:rPr>
                <w:rFonts w:ascii="宋体" w:hAnsi="宋体" w:eastAsia="宋体"/>
                <w:sz w:val="20"/>
              </w:rPr>
            </w:r>
            <w:r>
              <w:rPr>
                <w:rFonts w:ascii="宋体" w:hAnsi="宋体" w:eastAsia="宋体"/>
                <w:sz w:val="20"/>
              </w:rPr>
              <w:t>平衡主分类与辅助语义学习</w:t>
            </w:r>
          </w:p>
        </w:tc>
        <w:tc>
          <w:tcPr>
            <w:tcW w:type="dxa" w:w="2160"/>
          </w:tcPr>
          <w:p>
            <w:r>
              <w:rPr>
                <w:rFonts w:ascii="宋体" w:hAnsi="宋体" w:eastAsia="宋体"/>
                <w:sz w:val="20"/>
              </w:rPr>
            </w:r>
            <w:r>
              <w:rPr>
                <w:rFonts w:ascii="宋体" w:hAnsi="宋体" w:eastAsia="宋体"/>
                <w:sz w:val="20"/>
              </w:rPr>
              <w:t>非负实数；不使用辅助任务时为 0</w:t>
            </w:r>
          </w:p>
        </w:tc>
      </w:tr>
    </w:tbl>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（1）本发明以元路径内属性一致性和元路径间语义重要性进行两阶段净化，使候选连接需同时满足局部可信和全局任务相关要求，降低单次筛选遗漏或误保留低可信连接的概率。</w:t>
      </w:r>
    </w:p>
    <w:p>
      <w:pPr>
        <w:spacing w:after="120" w:line="276" w:lineRule="auto"/>
      </w:pPr>
      <w:r>
        <w:rPr>
          <w:rFonts w:ascii="宋体" w:hAnsi="宋体" w:eastAsia="宋体"/>
          <w:sz w:val="21"/>
        </w:rPr>
        <w:t>（2）本发明构造不以观测边集合 (E) 作为建图依据的特征诱导参考视图。在结构攻击而原始属性可用的条件下，该参考视图可以减少受攻击邻域对表示学习的单一支配，补充净化拓扑视图的证据来源。</w:t>
      </w:r>
    </w:p>
    <w:p>
      <w:pPr>
        <w:spacing w:after="120" w:line="276" w:lineRule="auto"/>
      </w:pPr>
      <w:r>
        <w:rPr>
          <w:rFonts w:ascii="宋体" w:hAnsi="宋体" w:eastAsia="宋体"/>
          <w:sz w:val="21"/>
        </w:rPr>
        <w:t>（3）本发明采用以同一节点为正样本的双向跨视图对齐。该约束不是泛化的随机视图增强，而是直接校验同一节点在“净化拓扑证据”和“属性诱导证据”下的表示一致性，适用于结构扰动导致的表示偏移抑制。</w:t>
      </w:r>
    </w:p>
    <w:p>
      <w:pPr>
        <w:spacing w:after="120" w:line="276" w:lineRule="auto"/>
      </w:pPr>
      <w:r>
        <w:rPr>
          <w:rFonts w:ascii="宋体" w:hAnsi="宋体" w:eastAsia="宋体"/>
          <w:sz w:val="21"/>
        </w:rPr>
        <w:t>（4）本发明的模块可替换性较强。元路径语义权重可以由不同注意力机制产生，双视图编码器可以采用不同消息传递网络，分类器可以采用线性层或多层感知器，而不改变分层净化、特征参考和节点级对齐的核心技术链条。</w:t>
      </w:r>
    </w:p>
    <w:p>
      <w:pPr>
        <w:pStyle w:val="Heading2"/>
      </w:pPr>
      <w:r>
        <w:rPr>
          <w:rFonts w:ascii="黑体" w:hAnsi="黑体" w:eastAsia="黑体"/>
        </w:rPr>
        <w:t>五、本发明的技术关键点和欲保护点是什么？</w:t>
      </w:r>
    </w:p>
    <w:p>
      <w:pPr>
        <w:spacing w:after="120" w:line="276" w:lineRule="auto"/>
      </w:pPr>
      <w:r>
        <w:rPr>
          <w:rFonts w:ascii="宋体" w:hAnsi="宋体" w:eastAsia="宋体"/>
          <w:sz w:val="21"/>
        </w:rPr>
        <w:t>（1）一种用于异构图节点分类的双证据协同方法：针对目标节点，基于元路径构建候选连接并进行分层语义拓扑净化，同时基于原始目标节点属性构造不依赖观测边的特征诱导参考视图；分别编码两个视图，并按同一节点进行双向跨视图对齐后实施节点分类。</w:t>
      </w:r>
    </w:p>
    <w:p>
      <w:pPr>
        <w:spacing w:after="120" w:line="276" w:lineRule="auto"/>
      </w:pPr>
      <w:r>
        <w:rPr>
          <w:rFonts w:ascii="宋体" w:hAnsi="宋体" w:eastAsia="宋体"/>
          <w:sz w:val="21"/>
        </w:rPr>
        <w:t>（2）元路径内与元路径间的两阶段净化：先按候选连接两端的原始属性一致性对每个元路径独立筛选，再使用元路径语义权重聚合保留连接，并按聚合结果进行全局筛选。具体可采用式（1）至式（3）的置信度和阈值实现。</w:t>
      </w:r>
    </w:p>
    <w:p>
      <w:pPr>
        <w:spacing w:after="120" w:line="276" w:lineRule="auto"/>
      </w:pPr>
      <w:r>
        <w:rPr>
          <w:rFonts w:ascii="宋体" w:hAnsi="宋体" w:eastAsia="宋体"/>
          <w:sz w:val="21"/>
        </w:rPr>
        <w:t>（3）面向结构扰动的特征诱导参考视图：仅按目标节点原始属性的 K 近邻关系构图，不以观测关系边作为建边前提；该视图与净化拓扑视图共同参与后续编码和分类。</w:t>
      </w:r>
    </w:p>
    <w:p>
      <w:pPr>
        <w:spacing w:after="120" w:line="276" w:lineRule="auto"/>
      </w:pPr>
      <w:r>
        <w:rPr>
          <w:rFonts w:ascii="宋体" w:hAnsi="宋体" w:eastAsia="宋体"/>
          <w:sz w:val="21"/>
        </w:rPr>
        <w:t>（4）节点级对称跨视图对齐：以同一目标节点的两个视图嵌入为正样本对，并分别从净化拓扑视图指向特征诱导视图、从特征诱导视图指向净化拓扑视图计算对比损失；以不同节点的跨视图嵌入构成负样本对，具体可采用式（5）。</w:t>
      </w:r>
    </w:p>
    <w:p>
      <w:pPr>
        <w:spacing w:after="120" w:line="276" w:lineRule="auto"/>
      </w:pPr>
      <w:r>
        <w:rPr>
          <w:rFonts w:ascii="宋体" w:hAnsi="宋体" w:eastAsia="宋体"/>
          <w:sz w:val="21"/>
        </w:rPr>
        <w:t>（5）联合优化方式：基于两个视图嵌入的融合结果计算分类损失，并联合双向对比损失和可选辅助元路径语义学习损失训练模型，具体可采用式（6）。</w:t>
      </w:r>
    </w:p>
    <w:p>
      <w:pPr>
        <w:spacing w:after="120" w:line="276" w:lineRule="auto"/>
      </w:pPr>
      <w:r>
        <w:rPr>
          <w:rFonts w:ascii="宋体" w:hAnsi="宋体" w:eastAsia="宋体"/>
          <w:sz w:val="21"/>
        </w:rPr>
        <w:t xml:space="preserve">（6）以下内容宜作为从属保护的可选限定：属性一致性采用非负余弦相似度；局部阈值 </w:t>
      </w:r>
      <w:r>
        <w:rPr>
          <w:rFonts w:ascii="宋体" w:hAnsi="宋体" w:eastAsia="宋体"/>
          <w:b w:val="0"/>
          <w:sz w:val="21"/>
        </w:rPr>
        <w:drawing>
          <wp:inline xmlns:a="http://schemas.openxmlformats.org/drawingml/2006/main" xmlns:pic="http://schemas.openxmlformats.org/drawingml/2006/picture">
            <wp:extent cx="236280" cy="155448"/>
            <wp:docPr id="26" name="Picture 26"/>
            <wp:cNvGraphicFramePr>
              <a:graphicFrameLocks noChangeAspect="1"/>
            </wp:cNvGraphicFramePr>
            <a:graphic>
              <a:graphicData uri="http://schemas.openxmlformats.org/drawingml/2006/picture">
                <pic:pic>
                  <pic:nvPicPr>
                    <pic:cNvPr id="0" name="inline_018.png"/>
                    <pic:cNvPicPr/>
                  </pic:nvPicPr>
                  <pic:blipFill>
                    <a:blip r:embed="rId34"/>
                    <a:stretch>
                      <a:fillRect/>
                    </a:stretch>
                  </pic:blipFill>
                  <pic:spPr>
                    <a:xfrm>
                      <a:off x="0" y="0"/>
                      <a:ext cx="236280" cy="155448"/>
                    </a:xfrm>
                    <a:prstGeom prst="rect"/>
                  </pic:spPr>
                </pic:pic>
              </a:graphicData>
            </a:graphic>
          </wp:inline>
        </w:drawing>
      </w:r>
      <w:r>
        <w:rPr>
          <w:rFonts w:ascii="宋体" w:hAnsi="宋体" w:eastAsia="宋体"/>
          <w:sz w:val="21"/>
        </w:rPr>
        <w:t xml:space="preserve"> 按元路径分别设置；特征 K 近邻视图采用有向、无向或加权连接；语义权重 </w:t>
      </w:r>
      <w:r>
        <w:rPr>
          <w:rFonts w:ascii="宋体" w:hAnsi="宋体" w:eastAsia="宋体"/>
          <w:b w:val="0"/>
          <w:sz w:val="21"/>
        </w:rPr>
        <w:drawing>
          <wp:inline xmlns:a="http://schemas.openxmlformats.org/drawingml/2006/main" xmlns:pic="http://schemas.openxmlformats.org/drawingml/2006/picture">
            <wp:extent cx="193132" cy="155448"/>
            <wp:docPr id="27" name="Picture 27"/>
            <wp:cNvGraphicFramePr>
              <a:graphicFrameLocks noChangeAspect="1"/>
            </wp:cNvGraphicFramePr>
            <a:graphic>
              <a:graphicData uri="http://schemas.openxmlformats.org/drawingml/2006/picture">
                <pic:pic>
                  <pic:nvPicPr>
                    <pic:cNvPr id="0" name="inline_009.png"/>
                    <pic:cNvPicPr/>
                  </pic:nvPicPr>
                  <pic:blipFill>
                    <a:blip r:embed="rId22"/>
                    <a:stretch>
                      <a:fillRect/>
                    </a:stretch>
                  </pic:blipFill>
                  <pic:spPr>
                    <a:xfrm>
                      <a:off x="0" y="0"/>
                      <a:ext cx="193132" cy="155448"/>
                    </a:xfrm>
                    <a:prstGeom prst="rect"/>
                  </pic:spPr>
                </pic:pic>
              </a:graphicData>
            </a:graphic>
          </wp:inline>
        </w:drawing>
      </w:r>
      <w:r>
        <w:rPr>
          <w:rFonts w:ascii="宋体" w:hAnsi="宋体" w:eastAsia="宋体"/>
          <w:sz w:val="21"/>
        </w:rPr>
        <w:t xml:space="preserve"> 由注意力网络生成；两个视图编码器参数不共享。</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在一个学术信息网络的节点分类场景中，将论文、作者和研究主题等抽象为不同节点类型，将发表、主题关联等抽象为关系类型，选取论文节点为目标节点。预设两条或多条从论文节点出发并回到论文节点的元路径，按式（1）至式（3）生成净化拓扑视图。对论文节点的文本或属性特征进行归一化，按式（4）建立每个节点的特征 K 近邻参考视图。</w:t>
      </w:r>
    </w:p>
    <w:p>
      <w:pPr>
        <w:spacing w:after="120" w:line="276" w:lineRule="auto"/>
      </w:pPr>
      <w:r>
        <w:rPr>
          <w:rFonts w:ascii="宋体" w:hAnsi="宋体" w:eastAsia="宋体"/>
          <w:sz w:val="21"/>
        </w:rPr>
        <w:t xml:space="preserve">在一个实施方式中，特征近邻数 </w:t>
      </w:r>
      <w:r>
        <w:rPr>
          <w:rFonts w:ascii="宋体" w:hAnsi="宋体" w:eastAsia="宋体"/>
          <w:b w:val="0"/>
          <w:sz w:val="21"/>
        </w:rPr>
        <w:drawing>
          <wp:inline xmlns:a="http://schemas.openxmlformats.org/drawingml/2006/main" xmlns:pic="http://schemas.openxmlformats.org/drawingml/2006/picture">
            <wp:extent cx="134250" cy="155448"/>
            <wp:docPr id="28" name="Picture 28"/>
            <wp:cNvGraphicFramePr>
              <a:graphicFrameLocks noChangeAspect="1"/>
            </wp:cNvGraphicFramePr>
            <a:graphic>
              <a:graphicData uri="http://schemas.openxmlformats.org/drawingml/2006/picture">
                <pic:pic>
                  <pic:nvPicPr>
                    <pic:cNvPr id="0" name="inline_020.png"/>
                    <pic:cNvPicPr/>
                  </pic:nvPicPr>
                  <pic:blipFill>
                    <a:blip r:embed="rId35"/>
                    <a:stretch>
                      <a:fillRect/>
                    </a:stretch>
                  </pic:blipFill>
                  <pic:spPr>
                    <a:xfrm>
                      <a:off x="0" y="0"/>
                      <a:ext cx="134250" cy="155448"/>
                    </a:xfrm>
                    <a:prstGeom prst="rect"/>
                  </pic:spPr>
                </pic:pic>
              </a:graphicData>
            </a:graphic>
          </wp:inline>
        </w:drawing>
      </w:r>
      <w:r>
        <w:rPr>
          <w:rFonts w:ascii="宋体" w:hAnsi="宋体" w:eastAsia="宋体"/>
          <w:sz w:val="21"/>
        </w:rPr>
        <w:t xml:space="preserve"> 可设为 20，局部阈值 </w:t>
      </w:r>
      <w:r>
        <w:rPr>
          <w:rFonts w:ascii="宋体" w:hAnsi="宋体" w:eastAsia="宋体"/>
          <w:b w:val="0"/>
          <w:sz w:val="21"/>
        </w:rPr>
        <w:drawing>
          <wp:inline xmlns:a="http://schemas.openxmlformats.org/drawingml/2006/main" xmlns:pic="http://schemas.openxmlformats.org/drawingml/2006/picture">
            <wp:extent cx="236280" cy="155448"/>
            <wp:docPr id="29" name="Picture 29"/>
            <wp:cNvGraphicFramePr>
              <a:graphicFrameLocks noChangeAspect="1"/>
            </wp:cNvGraphicFramePr>
            <a:graphic>
              <a:graphicData uri="http://schemas.openxmlformats.org/drawingml/2006/picture">
                <pic:pic>
                  <pic:nvPicPr>
                    <pic:cNvPr id="0" name="inline_018.png"/>
                    <pic:cNvPicPr/>
                  </pic:nvPicPr>
                  <pic:blipFill>
                    <a:blip r:embed="rId34"/>
                    <a:stretch>
                      <a:fillRect/>
                    </a:stretch>
                  </pic:blipFill>
                  <pic:spPr>
                    <a:xfrm>
                      <a:off x="0" y="0"/>
                      <a:ext cx="236280" cy="155448"/>
                    </a:xfrm>
                    <a:prstGeom prst="rect"/>
                  </pic:spPr>
                </pic:pic>
              </a:graphicData>
            </a:graphic>
          </wp:inline>
        </w:drawing>
      </w:r>
      <w:r>
        <w:rPr>
          <w:rFonts w:ascii="宋体" w:hAnsi="宋体" w:eastAsia="宋体"/>
          <w:sz w:val="21"/>
        </w:rPr>
        <w:t xml:space="preserve">、全局阈值 </w:t>
      </w:r>
      <w:r>
        <w:rPr>
          <w:rFonts w:ascii="宋体" w:hAnsi="宋体" w:eastAsia="宋体"/>
          <w:b w:val="0"/>
          <w:sz w:val="21"/>
        </w:rPr>
        <w:drawing>
          <wp:inline xmlns:a="http://schemas.openxmlformats.org/drawingml/2006/main" xmlns:pic="http://schemas.openxmlformats.org/drawingml/2006/picture">
            <wp:extent cx="186537" cy="155448"/>
            <wp:docPr id="30" name="Picture 30"/>
            <wp:cNvGraphicFramePr>
              <a:graphicFrameLocks noChangeAspect="1"/>
            </wp:cNvGraphicFramePr>
            <a:graphic>
              <a:graphicData uri="http://schemas.openxmlformats.org/drawingml/2006/picture">
                <pic:pic>
                  <pic:nvPicPr>
                    <pic:cNvPr id="0" name="inline_022.png"/>
                    <pic:cNvPicPr/>
                  </pic:nvPicPr>
                  <pic:blipFill>
                    <a:blip r:embed="rId36"/>
                    <a:stretch>
                      <a:fillRect/>
                    </a:stretch>
                  </pic:blipFill>
                  <pic:spPr>
                    <a:xfrm>
                      <a:off x="0" y="0"/>
                      <a:ext cx="186537" cy="155448"/>
                    </a:xfrm>
                    <a:prstGeom prst="rect"/>
                  </pic:spPr>
                </pic:pic>
              </a:graphicData>
            </a:graphic>
          </wp:inline>
        </w:drawing>
      </w:r>
      <w:r>
        <w:rPr>
          <w:rFonts w:ascii="宋体" w:hAnsi="宋体" w:eastAsia="宋体"/>
          <w:sz w:val="21"/>
        </w:rPr>
        <w:t xml:space="preserve">、对比温度 </w:t>
      </w:r>
      <w:r>
        <w:rPr>
          <w:rFonts w:ascii="宋体" w:hAnsi="宋体" w:eastAsia="宋体"/>
          <w:b w:val="0"/>
          <w:sz w:val="21"/>
        </w:rPr>
        <w:drawing>
          <wp:inline xmlns:a="http://schemas.openxmlformats.org/drawingml/2006/main" xmlns:pic="http://schemas.openxmlformats.org/drawingml/2006/picture">
            <wp:extent cx="184594" cy="155448"/>
            <wp:docPr id="31" name="Picture 31"/>
            <wp:cNvGraphicFramePr>
              <a:graphicFrameLocks noChangeAspect="1"/>
            </wp:cNvGraphicFramePr>
            <a:graphic>
              <a:graphicData uri="http://schemas.openxmlformats.org/drawingml/2006/picture">
                <pic:pic>
                  <pic:nvPicPr>
                    <pic:cNvPr id="0" name="inline_023.png"/>
                    <pic:cNvPicPr/>
                  </pic:nvPicPr>
                  <pic:blipFill>
                    <a:blip r:embed="rId37"/>
                    <a:stretch>
                      <a:fillRect/>
                    </a:stretch>
                  </pic:blipFill>
                  <pic:spPr>
                    <a:xfrm>
                      <a:off x="0" y="0"/>
                      <a:ext cx="184594" cy="155448"/>
                    </a:xfrm>
                    <a:prstGeom prst="rect"/>
                  </pic:spPr>
                </pic:pic>
              </a:graphicData>
            </a:graphic>
          </wp:inline>
        </w:drawing>
      </w:r>
      <w:r>
        <w:rPr>
          <w:rFonts w:ascii="宋体" w:hAnsi="宋体" w:eastAsia="宋体"/>
          <w:sz w:val="21"/>
        </w:rPr>
        <w:t xml:space="preserve"> 以及 </w:t>
      </w:r>
      <w:r>
        <w:rPr>
          <w:rFonts w:ascii="宋体" w:hAnsi="宋体" w:eastAsia="宋体"/>
          <w:b w:val="0"/>
          <w:sz w:val="21"/>
        </w:rPr>
        <w:drawing>
          <wp:inline xmlns:a="http://schemas.openxmlformats.org/drawingml/2006/main" xmlns:pic="http://schemas.openxmlformats.org/drawingml/2006/picture">
            <wp:extent cx="207264" cy="155448"/>
            <wp:docPr id="32" name="Picture 32"/>
            <wp:cNvGraphicFramePr>
              <a:graphicFrameLocks noChangeAspect="1"/>
            </wp:cNvGraphicFramePr>
            <a:graphic>
              <a:graphicData uri="http://schemas.openxmlformats.org/drawingml/2006/picture">
                <pic:pic>
                  <pic:nvPicPr>
                    <pic:cNvPr id="0" name="inline_024.png"/>
                    <pic:cNvPicPr/>
                  </pic:nvPicPr>
                  <pic:blipFill>
                    <a:blip r:embed="rId38"/>
                    <a:stretch>
                      <a:fillRect/>
                    </a:stretch>
                  </pic:blipFill>
                  <pic:spPr>
                    <a:xfrm>
                      <a:off x="0" y="0"/>
                      <a:ext cx="207264" cy="155448"/>
                    </a:xfrm>
                    <a:prstGeom prst="rect"/>
                  </pic:spPr>
                </pic:pic>
              </a:graphicData>
            </a:graphic>
          </wp:inline>
        </w:drawing>
      </w:r>
      <w:r>
        <w:rPr>
          <w:rFonts w:ascii="宋体" w:hAnsi="宋体" w:eastAsia="宋体"/>
          <w:sz w:val="21"/>
        </w:rPr>
        <w:t xml:space="preserve"> 均在验证集上选取。两个视图分别采用图注意力编码器，输出嵌入拼接后输入分类器；训练阶段按式（5）和式（6）共同优化。上述参数仅为实施示例，不构成对保护范围的限制。</w:t>
      </w:r>
    </w:p>
    <w:p>
      <w:pPr>
        <w:spacing w:after="120" w:line="276" w:lineRule="auto"/>
      </w:pPr>
      <w:r>
        <w:rPr>
          <w:rFonts w:ascii="宋体" w:hAnsi="宋体" w:eastAsia="宋体"/>
          <w:sz w:val="21"/>
        </w:rPr>
        <w:t>当观测图中存在边插入、边删除或边重连导致的结构扰动时，分层语义拓扑净化先抑制属性不一致或跨元路径语义贡献较低的候选连接；特征诱导参考视图再向同一节点提供不基于观测边的表示参照；节点级双向对齐促使两个视图的有效信息相互保持一致。由此，可在统一训练和评估协议下比较节点分类准确率及其在不同结构扰动强度下的变化，以验证本发明在结构扰动条件下的稳定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