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b3687c128d052a71682ac303df80ec84f732fb"/>
    <w:p>
      <w:pPr>
        <w:pStyle w:val="Heading1"/>
      </w:pPr>
      <w:r>
        <w:t xml:space="preserve">Presentation script — 7 minutes (with suggested edits)</w:t>
      </w:r>
    </w:p>
    <w:p>
      <w:pPr>
        <w:pStyle w:val="FirstParagraph"/>
      </w:pPr>
      <w:r>
        <w:rPr>
          <w:b/>
          <w:bCs/>
        </w:rPr>
        <w:t xml:space="preserve">Legend for tracked changes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strike/>
        </w:rPr>
        <w:t xml:space="preserve">strikethrough</w:t>
      </w:r>
      <w:r>
        <w:t xml:space="preserve"> </w:t>
      </w:r>
      <w:r>
        <w:t xml:space="preserve">= suggested deletion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= suggested addition</w:t>
      </w:r>
    </w:p>
    <w:p>
      <w:pPr>
        <w:pStyle w:val="BodyText"/>
      </w:pPr>
      <w:r>
        <w:t xml:space="preserve">Acronym expansions (PPO, GRU), market-regime trim (~20%), and two rubric-aligned</w:t>
      </w:r>
      <w:r>
        <w:t xml:space="preserve"> </w:t>
      </w:r>
      <w:r>
        <w:t xml:space="preserve">inserts (why the problem is hard, why prior solutions fall short) are marked</w:t>
      </w:r>
      <w:r>
        <w:t xml:space="preserve"> </w:t>
      </w:r>
      <w:r>
        <w:t xml:space="preserve">inline below.</w:t>
      </w:r>
    </w:p>
    <w:p>
      <w:r>
        <w:pict>
          <v:rect style="width:0;height:1.5pt" o:hralign="center" o:hrstd="t" o:hr="t"/>
        </w:pict>
      </w:r>
    </w:p>
    <w:bookmarkStart w:id="9" w:name="slide-1-title-000-013"/>
    <w:p>
      <w:pPr>
        <w:pStyle w:val="Heading2"/>
      </w:pPr>
      <w:r>
        <w:t xml:space="preserve">Slide 1 — Title [0:00 – 0:13]</w:t>
      </w:r>
    </w:p>
    <w:p>
      <w:pPr>
        <w:pStyle w:val="FirstParagraph"/>
      </w:pPr>
      <w:r>
        <w:t xml:space="preserve">Hi, we’re [go around each say our own names] Andrew, Ophelia, Ruirong,</w:t>
      </w:r>
      <w:r>
        <w:t xml:space="preserve"> </w:t>
      </w:r>
      <w:r>
        <w:t xml:space="preserve">Bonnie, and Claire (who’s joining us vicariously today). For our final</w:t>
      </w:r>
      <w:r>
        <w:t xml:space="preserve"> </w:t>
      </w:r>
      <w:r>
        <w:t xml:space="preserve">project, we devised an RL strategy to try to win the AuctionNet</w:t>
      </w:r>
      <w:r>
        <w:t xml:space="preserve"> </w:t>
      </w:r>
      <w:r>
        <w:t xml:space="preserve">auto-bidding benchmark from the NeurIPS 2024 competition.</w:t>
      </w:r>
    </w:p>
    <w:p>
      <w:r>
        <w:pict>
          <v:rect style="width:0;height:1.5pt" o:hralign="center" o:hrstd="t" o:hr="t"/>
        </w:pict>
      </w:r>
    </w:p>
    <w:bookmarkEnd w:id="9"/>
    <w:bookmarkStart w:id="10" w:name="slide-2-problem-setting-013-100"/>
    <w:p>
      <w:pPr>
        <w:pStyle w:val="Heading2"/>
      </w:pPr>
      <w:r>
        <w:t xml:space="preserve">Slide 2 — Problem Setting [0:13 – 1:00]</w:t>
      </w:r>
    </w:p>
    <w:p>
      <w:pPr>
        <w:pStyle w:val="FirstParagraph"/>
      </w:pPr>
      <w:r>
        <w:t xml:space="preserve">Online advertising is one of the largest real-time decision-making</w:t>
      </w:r>
      <w:r>
        <w:t xml:space="preserve"> </w:t>
      </w:r>
      <w:r>
        <w:t xml:space="preserve">systems. Advertisers bid against each other for the right to show their</w:t>
      </w:r>
      <w:r>
        <w:t xml:space="preserve"> </w:t>
      </w:r>
      <w:r>
        <w:t xml:space="preserve">ad, in order to win the slot and convert potential customers, all while</w:t>
      </w:r>
      <w:r>
        <w:t xml:space="preserve"> </w:t>
      </w:r>
      <w:r>
        <w:t xml:space="preserve">staying under a budget constraint. This sequential, constrained</w:t>
      </w:r>
      <w:r>
        <w:t xml:space="preserve"> </w:t>
      </w:r>
      <w:r>
        <w:t xml:space="preserve">decision-making structure makes it a natural fit for RL.</w:t>
      </w:r>
    </w:p>
    <w:p>
      <w:pPr>
        <w:pStyle w:val="BodyText"/>
      </w:pPr>
      <w:r>
        <w:t xml:space="preserve">Concretely, in AuctionNet, at each timestep one agent bids on roughly</w:t>
      </w:r>
      <w:r>
        <w:t xml:space="preserve"> </w:t>
      </w:r>
      <w:r>
        <w:t xml:space="preserve">a thousand impressions against 47 other advertisers. The agents bid</w:t>
      </w:r>
      <w:r>
        <w:t xml:space="preserve"> </w:t>
      </w:r>
      <w:r>
        <w:t xml:space="preserve">simultaneously and none can observe the others — so formally this is</w:t>
      </w:r>
      <w:r>
        <w:t xml:space="preserve"> </w:t>
      </w:r>
      <w:r>
        <w:t xml:space="preserve">a partially-observable MDP.</w:t>
      </w:r>
    </w:p>
    <w:p>
      <w:pPr>
        <w:pStyle w:val="BodyText"/>
      </w:pPr>
      <w:r>
        <w:t xml:space="preserve">The agent maximises cumulative conversions, subject to two</w:t>
      </w:r>
      <w:r>
        <w:t xml:space="preserve"> </w:t>
      </w:r>
      <w:r>
        <w:t xml:space="preserve">constraints. Budget is a hard constraint, and CPA, cost per</w:t>
      </w:r>
      <w:r>
        <w:t xml:space="preserve"> </w:t>
      </w:r>
      <w:r>
        <w:t xml:space="preserve">acquisition, is soft — exceeding it applies a quadratic penalty to</w:t>
      </w:r>
      <w:r>
        <w:t xml:space="preserve"> </w:t>
      </w:r>
      <w:r>
        <w:t xml:space="preserve">the final reward but does not eliminate you from bidding.</w:t>
      </w:r>
    </w:p>
    <w:p>
      <w:pPr>
        <w:pStyle w:val="BodyText"/>
      </w:pPr>
      <w:r>
        <w:rPr>
          <w:b/>
          <w:bCs/>
        </w:rPr>
        <w:t xml:space="preserve">[ADD — why it’s hard: That combination makes naive strategies fail.</w:t>
      </w:r>
      <w:r>
        <w:rPr>
          <w:b/>
          <w:bCs/>
        </w:rPr>
        <w:t xml:space="preserve"> </w:t>
      </w:r>
      <w:r>
        <w:rPr>
          <w:b/>
          <w:bCs/>
        </w:rPr>
        <w:t xml:space="preserve">A greedy bid-every-impression policy blows the budget early. A flat</w:t>
      </w:r>
      <w:r>
        <w:rPr>
          <w:b/>
          <w:bCs/>
        </w:rPr>
        <w:t xml:space="preserve"> </w:t>
      </w:r>
      <w:r>
        <w:rPr>
          <w:b/>
          <w:bCs/>
        </w:rPr>
        <w:t xml:space="preserve">pacing rule that spends budget uniformly ignores that traffic quality</w:t>
      </w:r>
      <w:r>
        <w:rPr>
          <w:b/>
          <w:bCs/>
        </w:rPr>
        <w:t xml:space="preserve"> </w:t>
      </w:r>
      <w:r>
        <w:rPr>
          <w:b/>
          <w:bCs/>
        </w:rPr>
        <w:t xml:space="preserve">is unevenly distributed across the day. And any strategy that ignores</w:t>
      </w:r>
      <w:r>
        <w:rPr>
          <w:b/>
          <w:bCs/>
        </w:rPr>
        <w:t xml:space="preserve"> </w:t>
      </w:r>
      <w:r>
        <w:rPr>
          <w:b/>
          <w:bCs/>
        </w:rPr>
        <w:t xml:space="preserve">opponents gets outbid on the high-value impressions. The policy has to</w:t>
      </w:r>
      <w:r>
        <w:rPr>
          <w:b/>
          <w:bCs/>
        </w:rPr>
        <w:t xml:space="preserve"> </w:t>
      </w:r>
      <w:r>
        <w:rPr>
          <w:b/>
          <w:bCs/>
        </w:rPr>
        <w:t xml:space="preserve">be simultaneously budget-aware, CPA-aware, and opponent-aware — which</w:t>
      </w:r>
      <w:r>
        <w:rPr>
          <w:b/>
          <w:bCs/>
        </w:rPr>
        <w:t xml:space="preserve"> </w:t>
      </w:r>
      <w:r>
        <w:rPr>
          <w:b/>
          <w:bCs/>
        </w:rPr>
        <w:t xml:space="preserve">is exactly what RL gives us a framework for.]</w:t>
      </w:r>
    </w:p>
    <w:p>
      <w:pPr>
        <w:pStyle w:val="BodyText"/>
      </w:pPr>
      <w:r>
        <w:t xml:space="preserve">NeurIPS fixes the bidding form: the agent just chooses a scalar</w:t>
      </w:r>
      <w:r>
        <w:t xml:space="preserve"> </w:t>
      </w:r>
      <w:r>
        <w:t xml:space="preserve">multiplier alpha, and each bid equals alpha times pValue times</w:t>
      </w:r>
      <w:r>
        <w:t xml:space="preserve"> </w:t>
      </w:r>
      <w:r>
        <w:t xml:space="preserve">CPA-target. So the problem reduces to choosing one number per tick.</w:t>
      </w:r>
    </w:p>
    <w:p>
      <w:r>
        <w:pict>
          <v:rect style="width:0;height:1.5pt" o:hralign="center" o:hrstd="t" o:hr="t"/>
        </w:pict>
      </w:r>
    </w:p>
    <w:bookmarkEnd w:id="10"/>
    <w:bookmarkStart w:id="11" w:name="slide-3-formulation-baseline-120-215"/>
    <w:p>
      <w:pPr>
        <w:pStyle w:val="Heading2"/>
      </w:pPr>
      <w:r>
        <w:t xml:space="preserve">Slide 3 — Formulation &amp; Baseline [1:20 – 2:15]</w:t>
      </w:r>
    </w:p>
    <w:p>
      <w:pPr>
        <w:pStyle w:val="FirstParagraph"/>
      </w:pPr>
      <w:r>
        <w:t xml:space="preserve">The state is a 16-dimensional vector summarizing pacing, the current</w:t>
      </w:r>
      <w:r>
        <w:t xml:space="preserve"> </w:t>
      </w:r>
      <w:r>
        <w:t xml:space="preserve">tick’s impression batch, and rolling historical statistics on bids,</w:t>
      </w:r>
      <w:r>
        <w:t xml:space="preserve"> </w:t>
      </w:r>
      <w:r>
        <w:t xml:space="preserve">winning costs, conversions, and volume. The action is the scalar alpha.</w:t>
      </w:r>
    </w:p>
    <w:p>
      <w:pPr>
        <w:pStyle w:val="BodyText"/>
      </w:pPr>
      <w:r>
        <w:t xml:space="preserve">We train</w:t>
      </w:r>
      <w:r>
        <w:t xml:space="preserve"> </w:t>
      </w:r>
      <w:r>
        <w:rPr>
          <w:strike/>
        </w:rPr>
        <w:t xml:space="preserve">PPO</w:t>
      </w:r>
      <w:r>
        <w:t xml:space="preserve"> </w:t>
      </w:r>
      <w:r>
        <w:rPr>
          <w:b/>
          <w:bCs/>
        </w:rPr>
        <w:t xml:space="preserve">Proximal Policy Optimization, or PPO,</w:t>
      </w:r>
      <w:r>
        <w:t xml:space="preserve"> </w:t>
      </w:r>
      <w:r>
        <w:t xml:space="preserve">on 20 data</w:t>
      </w:r>
      <w:r>
        <w:t xml:space="preserve"> </w:t>
      </w:r>
      <w:r>
        <w:t xml:space="preserve">periods and hold out one period for evaluation. At 10 million training</w:t>
      </w:r>
      <w:r>
        <w:t xml:space="preserve"> </w:t>
      </w:r>
      <w:r>
        <w:t xml:space="preserve">steps the 16-dimensional PPO baseline scores 24.8. The curve plateaus</w:t>
      </w:r>
      <w:r>
        <w:t xml:space="preserve"> </w:t>
      </w:r>
      <w:r>
        <w:t xml:space="preserve">with high variance, which is the gap our extensions try to close.</w:t>
      </w:r>
    </w:p>
    <w:p>
      <w:r>
        <w:pict>
          <v:rect style="width:0;height:1.5pt" o:hralign="center" o:hrstd="t" o:hr="t"/>
        </w:pict>
      </w:r>
    </w:p>
    <w:bookmarkEnd w:id="11"/>
    <w:bookmarkStart w:id="12" w:name="Xa292f8e38b2d2b91c4971590b6502ba4a4a35c3"/>
    <w:p>
      <w:pPr>
        <w:pStyle w:val="Heading2"/>
      </w:pPr>
      <w:r>
        <w:t xml:space="preserve">Slide 4 — State Feature Augmentation [3:50 – 4:50]</w:t>
      </w:r>
    </w:p>
    <w:p>
      <w:pPr>
        <w:pStyle w:val="FirstParagraph"/>
      </w:pPr>
      <w:r>
        <w:t xml:space="preserve">As a starting point, we looked at the NeurIPS competition winner</w:t>
      </w:r>
      <w:r>
        <w:t xml:space="preserve"> </w:t>
      </w:r>
      <w:r>
        <w:t xml:space="preserve">(SONY), which augments the feature state space from 16 to 60-feature</w:t>
      </w:r>
      <w:r>
        <w:t xml:space="preserve"> </w:t>
      </w:r>
      <w:r>
        <w:t xml:space="preserve">observation, and uses Oracle Imitation Learning</w:t>
      </w:r>
      <w:r>
        <w:t xml:space="preserve"> </w:t>
      </w:r>
      <w:r>
        <w:rPr>
          <w:strike/>
        </w:rPr>
        <w:t xml:space="preserve">and.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[ADD — why prior approaches fall short: The key word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oracle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SONY’s method reverse-engineered ground-truth future bids and distilled</w:t>
      </w:r>
      <w:r>
        <w:rPr>
          <w:b/>
          <w:bCs/>
        </w:rPr>
        <w:t xml:space="preserve"> </w:t>
      </w:r>
      <w:r>
        <w:rPr>
          <w:b/>
          <w:bCs/>
        </w:rPr>
        <w:t xml:space="preserve">them into a supervised learning target. It works on their fixed</w:t>
      </w:r>
      <w:r>
        <w:rPr>
          <w:b/>
          <w:bCs/>
        </w:rPr>
        <w:t xml:space="preserve"> </w:t>
      </w:r>
      <w:r>
        <w:rPr>
          <w:b/>
          <w:bCs/>
        </w:rPr>
        <w:t xml:space="preserve">benchmark, but it’s not really solving the RL problem — it’s cheating</w:t>
      </w:r>
      <w:r>
        <w:rPr>
          <w:b/>
          <w:bCs/>
        </w:rPr>
        <w:t xml:space="preserve"> </w:t>
      </w:r>
      <w:r>
        <w:rPr>
          <w:b/>
          <w:bCs/>
        </w:rPr>
        <w:t xml:space="preserve">with hindsight that you don’t have in any real deployment.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trick doesn’t transfer to a new auction, a new set of opponents, or a</w:t>
      </w:r>
      <w:r>
        <w:rPr>
          <w:b/>
          <w:bCs/>
        </w:rPr>
        <w:t xml:space="preserve"> </w:t>
      </w:r>
      <w:r>
        <w:rPr>
          <w:b/>
          <w:bCs/>
        </w:rPr>
        <w:t xml:space="preserve">new CPA distribution. We chose PPO specifically because it learns</w:t>
      </w:r>
      <w:r>
        <w:rPr>
          <w:b/>
          <w:bCs/>
        </w:rPr>
        <w:t xml:space="preserve"> </w:t>
      </w:r>
      <w:r>
        <w:rPr>
          <w:b/>
          <w:bCs/>
        </w:rPr>
        <w:t xml:space="preserve">without oracle access, so the same policy could be dropped into a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auction with minimal re-engineering. Our contribution is</w:t>
      </w:r>
      <w:r>
        <w:rPr>
          <w:b/>
          <w:bCs/>
        </w:rPr>
        <w:t xml:space="preserve"> </w:t>
      </w:r>
      <w:r>
        <w:rPr>
          <w:b/>
          <w:bCs/>
        </w:rPr>
        <w:t xml:space="preserve">showing that principled RL can close the gap to OIL once we enrich the</w:t>
      </w:r>
      <w:r>
        <w:rPr>
          <w:b/>
          <w:bCs/>
        </w:rPr>
        <w:t xml:space="preserve"> </w:t>
      </w:r>
      <w:r>
        <w:rPr>
          <w:b/>
          <w:bCs/>
        </w:rPr>
        <w:t xml:space="preserve">state space — which is what motivated our extensions.]</w:t>
      </w:r>
    </w:p>
    <w:p>
      <w:pPr>
        <w:pStyle w:val="BodyText"/>
      </w:pPr>
      <w:r>
        <w:t xml:space="preserve">Upgrading from 16 to 60-feature observation improves the score from</w:t>
      </w:r>
      <w:r>
        <w:t xml:space="preserve"> </w:t>
      </w:r>
      <w:r>
        <w:t xml:space="preserve">24.8 to 27.0 — a bigger gain than any of the algorithmic extensions</w:t>
      </w:r>
      <w:r>
        <w:t xml:space="preserve"> </w:t>
      </w:r>
      <w:r>
        <w:t xml:space="preserve">except market-regime. All subsequent extensions stack on top of this</w:t>
      </w:r>
      <w:r>
        <w:t xml:space="preserve"> </w:t>
      </w:r>
      <w:r>
        <w:t xml:space="preserve">obs_60 baseline.</w:t>
      </w:r>
    </w:p>
    <w:p>
      <w:r>
        <w:pict>
          <v:rect style="width:0;height:1.5pt" o:hralign="center" o:hrstd="t" o:hr="t"/>
        </w:pict>
      </w:r>
    </w:p>
    <w:bookmarkEnd w:id="12"/>
    <w:bookmarkStart w:id="13" w:name="slide-5-extensions-215-350"/>
    <w:p>
      <w:pPr>
        <w:pStyle w:val="Heading2"/>
      </w:pPr>
      <w:r>
        <w:t xml:space="preserve">Slide 5 — Extensions [2:15 – 3:50]</w:t>
      </w:r>
    </w:p>
    <w:p>
      <w:pPr>
        <w:pStyle w:val="FirstParagraph"/>
      </w:pPr>
      <w:r>
        <w:t xml:space="preserve">We next explored four extensions, each touching a different layer of</w:t>
      </w:r>
      <w:r>
        <w:t xml:space="preserve"> </w:t>
      </w:r>
      <w:r>
        <w:t xml:space="preserve">the pipeline.</w:t>
      </w:r>
    </w:p>
    <w:p>
      <w:pPr>
        <w:pStyle w:val="BodyText"/>
      </w:pPr>
      <w:r>
        <w:t xml:space="preserve">First: Reward shaping. We replaced the final-only CPA penalty with a</w:t>
      </w:r>
      <w:r>
        <w:t xml:space="preserve"> </w:t>
      </w:r>
      <w:r>
        <w:t xml:space="preserve">per-step Lagrangian term — subtract lambda times the instantaneous</w:t>
      </w:r>
      <w:r>
        <w:t xml:space="preserve"> </w:t>
      </w:r>
      <w:r>
        <w:t xml:space="preserve">overspend from each reward. The policy now sees CPA violations as they</w:t>
      </w:r>
      <w:r>
        <w:t xml:space="preserve"> </w:t>
      </w:r>
      <w:r>
        <w:t xml:space="preserve">happen rather than only at the end. We achieve a score of 25.6,</w:t>
      </w:r>
      <w:r>
        <w:t xml:space="preserve"> </w:t>
      </w:r>
      <w:r>
        <w:t xml:space="preserve">sensitive to the lambda sweep.</w:t>
      </w:r>
    </w:p>
    <w:p>
      <w:pPr>
        <w:pStyle w:val="BodyText"/>
      </w:pPr>
      <w:r>
        <w:t xml:space="preserve">Second: Replay reweighting. Instead of sampling training periods</w:t>
      </w:r>
      <w:r>
        <w:t xml:space="preserve"> </w:t>
      </w:r>
      <w:r>
        <w:t xml:space="preserve">uniformly, we incorporate a softmax and upweight lower-scoring periods</w:t>
      </w:r>
      <w:r>
        <w:t xml:space="preserve"> </w:t>
      </w:r>
      <w:r>
        <w:t xml:space="preserve">— the harder competitors — so the policy spends more gradient budget</w:t>
      </w:r>
      <w:r>
        <w:t xml:space="preserve"> </w:t>
      </w:r>
      <w:r>
        <w:t xml:space="preserve">where it needs to learn the most. Score 25.8, consistently above</w:t>
      </w:r>
      <w:r>
        <w:t xml:space="preserve"> </w:t>
      </w:r>
      <w:r>
        <w:t xml:space="preserve">uniform across the entire training curve.</w:t>
      </w:r>
    </w:p>
    <w:p>
      <w:pPr>
        <w:pStyle w:val="BodyText"/>
      </w:pPr>
      <w:r>
        <w:t xml:space="preserve">Third: Sequence encoder. We replaced the hand-crafted</w:t>
      </w:r>
      <w:r>
        <w:t xml:space="preserve"> </w:t>
      </w:r>
      <w:r>
        <w:t xml:space="preserve">“last-three”</w:t>
      </w:r>
      <w:r>
        <w:t xml:space="preserve"> </w:t>
      </w:r>
      <w:r>
        <w:t xml:space="preserve">history features with a</w:t>
      </w:r>
      <w:r>
        <w:t xml:space="preserve"> </w:t>
      </w:r>
      <w:r>
        <w:rPr>
          <w:strike/>
        </w:rPr>
        <w:t xml:space="preserve">GRU</w:t>
      </w:r>
      <w:r>
        <w:t xml:space="preserve"> </w:t>
      </w:r>
      <w:r>
        <w:rPr>
          <w:b/>
          <w:bCs/>
        </w:rPr>
        <w:t xml:space="preserve">Gated Recurrent Unit, or GRU,</w:t>
      </w:r>
      <w:r>
        <w:t xml:space="preserve"> </w:t>
      </w:r>
      <w:r>
        <w:t xml:space="preserve">that</w:t>
      </w:r>
      <w:r>
        <w:t xml:space="preserve"> </w:t>
      </w:r>
      <w:r>
        <w:t xml:space="preserve">encodes the last 32 observations into a learned summary, with a</w:t>
      </w:r>
      <w:r>
        <w:t xml:space="preserve"> </w:t>
      </w:r>
      <w:r>
        <w:t xml:space="preserve">residual path to the latest state. Score 25.5.</w:t>
      </w:r>
    </w:p>
    <w:p>
      <w:pPr>
        <w:pStyle w:val="BodyText"/>
      </w:pPr>
      <w:r>
        <w:t xml:space="preserve">Fourth: Market-regime conditioning. Even at 60 features, the</w:t>
      </w:r>
      <w:r>
        <w:t xml:space="preserve"> </w:t>
      </w:r>
      <w:r>
        <w:t xml:space="preserve">observation is a snapshot of point statistics — it doesn’t tell the</w:t>
      </w:r>
      <w:r>
        <w:t xml:space="preserve"> </w:t>
      </w:r>
      <w:r>
        <w:t xml:space="preserve">policy how competition is changing. We added 38 features on top of</w:t>
      </w:r>
      <w:r>
        <w:t xml:space="preserve"> </w:t>
      </w:r>
      <w:r>
        <w:t xml:space="preserve">obs_60: time derivatives and z-scores of competitor bids for regime</w:t>
      </w:r>
      <w:r>
        <w:t xml:space="preserve"> </w:t>
      </w:r>
      <w:r>
        <w:t xml:space="preserve">detection,</w:t>
      </w:r>
      <w:r>
        <w:t xml:space="preserve"> </w:t>
      </w:r>
      <w:r>
        <w:rPr>
          <w:strike/>
        </w:rPr>
        <w:t xml:space="preserve">opponent-aggression proxies like floor-cost over available</w:t>
      </w:r>
      <w:r>
        <w:rPr>
          <w:strike/>
        </w:rPr>
        <w:t xml:space="preserve"> </w:t>
      </w:r>
      <w:r>
        <w:rPr>
          <w:strike/>
        </w:rPr>
        <w:t xml:space="preserve">pvalue that</w:t>
      </w:r>
      <w:r>
        <w:t xml:space="preserve"> </w:t>
      </w:r>
      <w:r>
        <w:rPr>
          <w:b/>
          <w:bCs/>
        </w:rPr>
        <w:t xml:space="preserve">opponent-aggression proxies that</w:t>
      </w:r>
      <w:r>
        <w:t xml:space="preserve"> </w:t>
      </w:r>
      <w:r>
        <w:t xml:space="preserve">infer opponent</w:t>
      </w:r>
      <w:r>
        <w:t xml:space="preserve"> </w:t>
      </w:r>
      <w:r>
        <w:t xml:space="preserve">stance from auction outcomes, and per-slot win and exposure signals</w:t>
      </w:r>
      <w:r>
        <w:t xml:space="preserve"> </w:t>
      </w:r>
      <w:r>
        <w:rPr>
          <w:strike/>
        </w:rPr>
        <w:t xml:space="preserve">the env already tracked but never exposed</w:t>
      </w:r>
      <w:r>
        <w:t xml:space="preserve"> </w:t>
      </w:r>
      <w:r>
        <w:rPr>
          <w:b/>
          <w:bCs/>
        </w:rPr>
        <w:t xml:space="preserve">the environment already</w:t>
      </w:r>
      <w:r>
        <w:rPr>
          <w:b/>
          <w:bCs/>
        </w:rPr>
        <w:t xml:space="preserve"> </w:t>
      </w:r>
      <w:r>
        <w:rPr>
          <w:b/>
          <w:bCs/>
        </w:rPr>
        <w:t xml:space="preserve">tracked</w:t>
      </w:r>
      <w:r>
        <w:t xml:space="preserve">.</w:t>
      </w:r>
      <w:r>
        <w:t xml:space="preserve"> </w:t>
      </w:r>
      <w:r>
        <w:rPr>
          <w:strike/>
        </w:rPr>
        <w:t xml:space="preserve">This gave us our largest single- extension gain —</w:t>
      </w:r>
      <w:r>
        <w:t xml:space="preserve"> </w:t>
      </w:r>
      <w:r>
        <w:rPr>
          <w:b/>
          <w:bCs/>
        </w:rPr>
        <w:t xml:space="preserve">Largest single-extension gain —</w:t>
      </w:r>
      <w:r>
        <w:t xml:space="preserve"> </w:t>
      </w:r>
      <w:r>
        <w:t xml:space="preserve">29.7, a 5-point improvement over</w:t>
      </w:r>
      <w:r>
        <w:t xml:space="preserve"> </w:t>
      </w:r>
      <w:r>
        <w:t xml:space="preserve">baseline.</w:t>
      </w:r>
    </w:p>
    <w:p>
      <w:r>
        <w:pict>
          <v:rect style="width:0;height:1.5pt" o:hralign="center" o:hrstd="t" o:hr="t"/>
        </w:pict>
      </w:r>
    </w:p>
    <w:bookmarkEnd w:id="13"/>
    <w:bookmarkStart w:id="14" w:name="slide-6-rl-training-on-llm-450-550"/>
    <w:p>
      <w:pPr>
        <w:pStyle w:val="Heading2"/>
      </w:pPr>
      <w:r>
        <w:t xml:space="preserve">Slide 6 — RL Training on LLM [4:50 – 5:50]</w:t>
      </w:r>
    </w:p>
    <w:p>
      <w:pPr>
        <w:pStyle w:val="FirstParagraph"/>
      </w:pPr>
      <w:r>
        <w:t xml:space="preserve">Separately, we asked: does RL on a pretrained LLM give better sample</w:t>
      </w:r>
      <w:r>
        <w:t xml:space="preserve"> </w:t>
      </w:r>
      <w:r>
        <w:t xml:space="preserve">efficiency than training from scratch? We fine-tuned Qwen3-8B with</w:t>
      </w:r>
      <w:r>
        <w:t xml:space="preserve"> </w:t>
      </w:r>
      <w:r>
        <w:t xml:space="preserve">GRPO and LoRA adapters. GRPO is PPO without a value network — a</w:t>
      </w:r>
      <w:r>
        <w:t xml:space="preserve"> </w:t>
      </w:r>
      <w:r>
        <w:t xml:space="preserve">group of four samples from the same prompt acts as the critic.</w:t>
      </w:r>
    </w:p>
    <w:p>
      <w:pPr>
        <w:pStyle w:val="BodyText"/>
      </w:pPr>
      <w:r>
        <w:t xml:space="preserve">We disabled chain-of-thought during rollouts so the model emits the</w:t>
      </w:r>
      <w:r>
        <w:t xml:space="preserve"> </w:t>
      </w:r>
      <w:r>
        <w:t xml:space="preserve">alpha multiplier directly as a continuous value. This keeps the action</w:t>
      </w:r>
      <w:r>
        <w:t xml:space="preserve"> </w:t>
      </w:r>
      <w:r>
        <w:t xml:space="preserve">space aligned with PPO and avoids backpropagating through reasoning</w:t>
      </w:r>
      <w:r>
        <w:t xml:space="preserve"> </w:t>
      </w:r>
      <w:r>
        <w:t xml:space="preserve">tokens.</w:t>
      </w:r>
    </w:p>
    <w:p>
      <w:pPr>
        <w:pStyle w:val="BodyText"/>
      </w:pPr>
      <w:r>
        <w:t xml:space="preserve">The early-training story is encouraging: the LLM-initialised policy</w:t>
      </w:r>
      <w:r>
        <w:t xml:space="preserve"> </w:t>
      </w:r>
      <w:r>
        <w:t xml:space="preserve">beats from-scratch PPO at matched step counts, confirming a</w:t>
      </w:r>
      <w:r>
        <w:t xml:space="preserve"> </w:t>
      </w:r>
      <w:r>
        <w:t xml:space="preserve">sample-efficiency win from pretrained priors.</w:t>
      </w:r>
    </w:p>
    <w:p>
      <w:pPr>
        <w:pStyle w:val="BodyText"/>
      </w:pPr>
      <w:r>
        <w:t xml:space="preserve">But it plateaus at 21.2, below the from-scratch PPO ceiling. The</w:t>
      </w:r>
      <w:r>
        <w:t xml:space="preserve"> </w:t>
      </w:r>
      <w:r>
        <w:t xml:space="preserve">failure mode is mode collapse: the policy concentrates, the group’s</w:t>
      </w:r>
      <w:r>
        <w:t xml:space="preserve"> </w:t>
      </w:r>
      <w:r>
        <w:t xml:space="preserve">relative advantages shrink to zero, gradients vanish, training halts.</w:t>
      </w:r>
      <w:r>
        <w:t xml:space="preserve"> </w:t>
      </w:r>
      <w:r>
        <w:t xml:space="preserve">So LLM initialisation trades peak performance for sample efficiency —</w:t>
      </w:r>
      <w:r>
        <w:t xml:space="preserve"> </w:t>
      </w:r>
      <w:r>
        <w:t xml:space="preserve">potentially useful in low-data regimes but not here.</w:t>
      </w:r>
    </w:p>
    <w:p>
      <w:r>
        <w:pict>
          <v:rect style="width:0;height:1.5pt" o:hralign="center" o:hrstd="t" o:hr="t"/>
        </w:pict>
      </w:r>
    </w:p>
    <w:bookmarkEnd w:id="14"/>
    <w:bookmarkStart w:id="15" w:name="slide-7-evaluations-next-steps-550-645"/>
    <w:p>
      <w:pPr>
        <w:pStyle w:val="Heading2"/>
      </w:pPr>
      <w:r>
        <w:t xml:space="preserve">Slide 7 — Evaluations &amp; Next Steps [5:50 – 6:45]</w:t>
      </w:r>
    </w:p>
    <w:p>
      <w:pPr>
        <w:pStyle w:val="FirstParagraph"/>
      </w:pPr>
      <w:r>
        <w:rPr>
          <w:i/>
          <w:iCs/>
        </w:rPr>
        <w:t xml:space="preserve">[gesture to the table]</w:t>
      </w:r>
    </w:p>
    <w:p>
      <w:pPr>
        <w:pStyle w:val="BodyText"/>
      </w:pPr>
      <w:r>
        <w:t xml:space="preserve">Summing up: the 16-feature PPO baseline scores 24.8. Every obs-level</w:t>
      </w:r>
      <w:r>
        <w:t xml:space="preserve"> </w:t>
      </w:r>
      <w:r>
        <w:t xml:space="preserve">extension we tried improves on it. 60-feature state gets us to 27.</w:t>
      </w:r>
      <w:r>
        <w:t xml:space="preserve"> </w:t>
      </w:r>
      <w:r>
        <w:t xml:space="preserve">Replay reweighting, GRU, and reward shaping each add roughly one</w:t>
      </w:r>
      <w:r>
        <w:t xml:space="preserve"> </w:t>
      </w:r>
      <w:r>
        <w:t xml:space="preserve">point. Market-regime conditioning adds the most — 29.7. GRPO on</w:t>
      </w:r>
      <w:r>
        <w:t xml:space="preserve"> </w:t>
      </w:r>
      <w:r>
        <w:t xml:space="preserve">the 8B LLM reaches 21.2 with strong early performance but a lower</w:t>
      </w:r>
      <w:r>
        <w:t xml:space="preserve"> </w:t>
      </w:r>
      <w:r>
        <w:t xml:space="preserve">ceiling.</w:t>
      </w:r>
    </w:p>
    <w:p>
      <w:pPr>
        <w:pStyle w:val="BodyText"/>
      </w:pPr>
      <w:r>
        <w:t xml:space="preserve">Because each extension touches a different layer — observation,</w:t>
      </w:r>
      <w:r>
        <w:t xml:space="preserve"> </w:t>
      </w:r>
      <w:r>
        <w:t xml:space="preserve">reward, sampling, policy architecture — they should compose. Our</w:t>
      </w:r>
      <w:r>
        <w:t xml:space="preserve"> </w:t>
      </w:r>
      <w:r>
        <w:t xml:space="preserve">natural next step is to stack the three strongest — the 60-feature</w:t>
      </w:r>
      <w:r>
        <w:t xml:space="preserve"> </w:t>
      </w:r>
      <w:r>
        <w:t xml:space="preserve">base, the market-regime features, and reward shaping — in a single</w:t>
      </w:r>
      <w:r>
        <w:t xml:space="preserve"> </w:t>
      </w:r>
      <w:r>
        <w:t xml:space="preserve">run, with more hyperparameter search. Given our compute budget we’ve</w:t>
      </w:r>
      <w:r>
        <w:t xml:space="preserve"> </w:t>
      </w:r>
      <w:r>
        <w:t xml:space="preserve">only trained one seed per configuration, so multi-seed runs are also</w:t>
      </w:r>
      <w:r>
        <w:t xml:space="preserve"> </w:t>
      </w:r>
      <w:r>
        <w:t xml:space="preserve">essential before claiming statistical significance.</w:t>
      </w:r>
    </w:p>
    <w:p>
      <w:r>
        <w:pict>
          <v:rect style="width:0;height:1.5pt" o:hralign="center" o:hrstd="t" o:hr="t"/>
        </w:pict>
      </w:r>
    </w:p>
    <w:bookmarkEnd w:id="15"/>
    <w:bookmarkStart w:id="16" w:name="close-645-700"/>
    <w:p>
      <w:pPr>
        <w:pStyle w:val="Heading2"/>
      </w:pPr>
      <w:r>
        <w:t xml:space="preserve">Close [6:45 – 7:00]</w:t>
      </w:r>
    </w:p>
    <w:p>
      <w:pPr>
        <w:pStyle w:val="FirstParagraph"/>
      </w:pPr>
      <w:r>
        <w:rPr>
          <w:i/>
          <w:iCs/>
        </w:rPr>
        <w:t xml:space="preserve">[close]</w:t>
      </w:r>
    </w:p>
    <w:p>
      <w:pPr>
        <w:pStyle w:val="BodyText"/>
      </w:pPr>
      <w:r>
        <w:t xml:space="preserve">Thanks — happy to take questions.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2026-04-24T17:39:55Z</dcterms:created>
  <dcterms:modified xsi:type="dcterms:W3CDTF">2026-04-24T17:39:55Z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