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1F2A37"/>
          <w:sz w:val="40"/>
        </w:rPr>
        <w:t>券商调研 · 金融中国</w:t>
      </w:r>
    </w:p>
    <w:p>
      <w:pPr>
        <w:spacing w:after="280"/>
      </w:pPr>
      <w:r>
        <w:rPr>
          <w:rFonts w:ascii="Calibri" w:hAnsi="Calibri" w:eastAsia="Microsoft YaHei"/>
          <w:color w:val="1F5E8C"/>
          <w:sz w:val="24"/>
        </w:rPr>
        <w:t>联盟合作政策 · 电话调研纪要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调研对象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金融中国（香港平台）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合作模式称谓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「联盟」（对方明确表示与市场上的「代理」不同）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调研方式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以潜在代理身份致电官方在线客服转人工，通话约 14 分钟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调研日期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【待填】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信息来源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通话录音转录；对方为一线客服，非专属客户经理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信息可靠度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中。多处数字经语音转录，标橙色处须以官方资料复核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一、联盟佣金结构（每手返佣）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第一档（普通用户）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C06210"/>
                <w:sz w:val="20"/>
              </w:rPr>
              <w:t>黄金 2.24 美元 / 手，白银 7.12 美元 / 手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第二档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C06210"/>
                <w:sz w:val="20"/>
              </w:rPr>
              <w:t>黄金约 2.x 美元 / 手，白银约 8.x 美元 / 手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加点权限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不可加点差、不可加手续费 —— 这是与外部代理模式最大的差别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封顶档（VIP8）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9 美元 / 手</w:t>
            </w:r>
          </w:p>
        </w:tc>
      </w:tr>
    </w:tbl>
    <w:p>
      <w:pPr>
        <w:spacing w:after="80"/>
        <w:ind w:left="170"/>
      </w:pPr>
      <w:r>
        <w:rPr>
          <w:rFonts w:ascii="Calibri" w:hAnsi="Calibri" w:eastAsia="Microsoft YaHei"/>
          <w:i/>
          <w:color w:val="6B7A8C"/>
          <w:sz w:val="19"/>
        </w:rPr>
        <w:t>橙色两行转录严重失真（原文作「2月24」「7月12」「相对于是0的美元」），数量级可信但小数位必须向对方索取正式佣金表核对。</w:t>
      </w:r>
    </w:p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二、VIP 等级与晋升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升级触发条件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单笔入金 ≥ 20,000 美元，或累计交易 ≥ 1,000 手，系统自动升级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VIP 额外回赠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在联盟佣金之外，每手额外返 2 美元起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回赠递增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VIP1–2 为 2 美元 / 手；VIP3 起升至 4 美元，其后随等级递增 5、6、7、8、9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最高等级 VIP8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C06210"/>
                <w:sz w:val="20"/>
              </w:rPr>
              <w:t>每手 9 美元 + 升级赠金 5 万（币种未明） + 每月额外 6 美元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VIP8 晋升门槛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累计入金 512 万美元，且累计交易 22,000 手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三、点差与交易成本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点差档位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仅一档，全体普通用户一致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黄金点差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0.15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是否可调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否。联盟方无法加点，客户之间无差别定价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额外费用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无额外佣金、无额外手续费；出入金仅承担汇率差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四、杠杆机制（本次调研的关键发现）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是否可调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否。客户与联盟方均无法上调或下调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计算方式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随行情价格动态调整，规则为「价格 ÷ 10」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实例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黄金报价 4,400 美元时，杠杆为 1:440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推论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金价 3,900 时杠杆约 1:390；无法达到量化策略常用的 1:500 或 1:1000</w:t>
            </w:r>
          </w:p>
        </w:tc>
      </w:tr>
    </w:tbl>
    <w:p>
      <w:pPr>
        <w:spacing w:before="120"/>
      </w:pPr>
      <w:r>
        <w:rPr>
          <w:rFonts w:ascii="Calibri" w:hAnsi="Calibri" w:eastAsia="Microsoft YaHei"/>
          <w:b/>
          <w:color w:val="B02A2A"/>
          <w:sz w:val="21"/>
        </w:rPr>
        <w:t>这是对方产品结构上最实质的短板。</w:t>
      </w:r>
      <w:r>
        <w:rPr>
          <w:rFonts w:ascii="Calibri" w:hAnsi="Calibri" w:eastAsia="Microsoft YaHei"/>
          <w:color w:val="1F2A37"/>
          <w:sz w:val="21"/>
        </w:rPr>
        <w:t>杠杆不可调 + 无跟单社区，意味着本地跟单无法做仓位比例缩放，EA 与量化客户基本无法迁入。团队内部评估认为，代理、工作室或公司类客户不会选择该平台，主因即在此。</w:t>
      </w:r>
    </w:p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五、跟单、社区与信号源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交易软件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MT5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官方跟单社区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信号源 / 挂靠服务器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本地跟单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可在 MT5 自行设置，但因杠杆锁定，无法按比例缩放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EA / API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允许。客户手动操作与使用 EA 均被认可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刷单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C06210"/>
                <w:sz w:val="20"/>
              </w:rPr>
              <w:t>对方未正面回答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第三方社区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Wolf 社区（W-O-L-F），内嵌于其 APP。为多家香港交易公司共用的公共投资者平台，含群组、好友添加、专家在线讲课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六、返佣结算与出入金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佣金可见时点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客户平仓当下即可在收益报表看到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提现窗口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次月 1–8 日，一次性提取上月全部返佣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支持币种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人民币、USDT；港币及其他海外卡走电汇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到账速度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香港本地银行卡出美元一般不走电汇；海外卡电汇较慢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手续费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无额外手续费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七、活动政策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新客户开户活动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四个档次，最低 200 美元、中间档 3,000 美元、最高 20,000 美元；20,000 档总赠金 800 美元，分三部分发放，并同步升级 VIP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中国大陆客户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可参与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老客户活动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仅偶发的生日活动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月度 / 季度活动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办公室 / 工作室补贴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无。对方称客群以个人为主，无面向公司团体的政策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下线客户入金物料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无</w:t>
            </w:r>
          </w:p>
        </w:tc>
      </w:tr>
    </w:tbl>
    <w:p>
      <w:pPr>
        <w:spacing w:after="80"/>
        <w:ind w:left="170"/>
      </w:pPr>
      <w:r>
        <w:rPr>
          <w:rFonts w:ascii="Calibri" w:hAnsi="Calibri" w:eastAsia="Microsoft YaHei"/>
          <w:i/>
          <w:color w:val="6B7A8C"/>
          <w:sz w:val="19"/>
        </w:rPr>
        <w:t>内部评估：活动体系单薄，缺少面向机构型合作方的支持政策，对大体量代理吸引力有限。</w:t>
      </w:r>
    </w:p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八、客服与对接体系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网页进线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随机分配客服，无固定归属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开户后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分配专属客服（工号制，本次接触到的工号为 199）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入口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登录交易账户后，页面右上角可见专属客服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电话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默认 AI 应答，发送「转人工」后转接专属客服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值班时间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14:00 – 23:00，非 7×24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非值班时段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由其他坐席协助记录并后续跟进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九、待补充 / 待核实事项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1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第一、二档佣金的准确数值（黄金、白银），须索取官方佣金表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2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VIP8 升级赠金「5 万」的币种（人民币或美元）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3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黄金以外品种的点差与佣金：原油、股指、外汇、数字货币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4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VIP1 至 VIP8 的完整晋升门槛表（本次仅拿到 VIP8）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5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是否限制刷单、剥头皮等策略，需书面确认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6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官方物料：佣金表截图、活动页、后台界面截图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 w:eastAsia="Microsoft YaHei"/>
          <w:b/>
          <w:color w:val="1F2A37"/>
          <w:sz w:val="28"/>
        </w:rPr>
        <w:t>十、调研方法备忘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进线路径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官网在线客服 → 用任意邮箱注册 → 客服主动对接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其他入口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小红书、抖音等社媒上的官方客服号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提效要点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表明代理身份并强调客户在等，可加快转人工与资料发送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资料获取</w:t>
            </w:r>
          </w:p>
        </w:tc>
        <w:tc>
          <w:tcPr>
            <w:tcW w:type="dxa" w:w="7030"/>
            <w:shd w:val="clear" w:fill="FAFBFC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由客服在通话过程中于在线聊天窗口发送；对方通常不接受 WhatsApp 传送</w:t>
            </w:r>
          </w:p>
        </w:tc>
      </w:tr>
      <w:tr>
        <w:tc>
          <w:tcPr>
            <w:tcW w:type="dxa" w:w="2381"/>
            <w:shd w:val="clear" w:fill="EEF3F8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/>
                <w:color w:val="1F2A37"/>
                <w:sz w:val="20"/>
              </w:rPr>
              <w:t>目标产出</w:t>
            </w:r>
          </w:p>
        </w:tc>
        <w:tc>
          <w:tcPr>
            <w:tcW w:type="dxa" w:w="7030"/>
          </w:tcPr>
          <w:p>
            <w:pPr>
              <w:spacing w:before="60" w:after="60"/>
            </w:pPr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填写券商调研表，并收集官方图片与物料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