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F68B5">
      <w:pPr>
        <w:rPr>
          <w:rFonts w:ascii="宋体" w:hAnsi="宋体" w:eastAsia="宋体" w:cs="宋体"/>
        </w:rPr>
      </w:pPr>
      <w:bookmarkStart w:id="0" w:name="_GoBack"/>
      <w:bookmarkEnd w:id="0"/>
    </w:p>
    <w:p w14:paraId="6197B2A2">
      <w:pPr>
        <w:snapToGrid/>
        <w:spacing w:beforeAutospacing="0" w:afterAutospacing="0" w:line="240" w:lineRule="auto"/>
        <w:ind w:left="0" w:leftChars="0" w:right="0" w:rightChars="0" w:firstLine="0" w:firstLineChars="0"/>
        <w:jc w:val="center"/>
        <w:rPr>
          <w:rFonts w:ascii="Times New Roman" w:hAnsi="宋体" w:eastAsia="宋体" w:cs="宋体"/>
          <w:b w:val="0"/>
          <w:sz w:val="36"/>
          <w:szCs w:val="28"/>
        </w:rPr>
      </w:pPr>
      <w:r>
        <w:rPr>
          <w:rFonts w:hint="eastAsia" w:ascii="Times New Roman" w:hAnsi="宋体" w:eastAsia="宋体" w:cs="宋体"/>
          <w:b w:val="0"/>
          <w:sz w:val="36"/>
          <w:szCs w:val="28"/>
        </w:rPr>
        <w:t>基于集成学习的中国省域税负水平预测研究</w:t>
      </w:r>
    </w:p>
    <w:p w14:paraId="7F8001E0">
      <w:pPr>
        <w:snapToGrid/>
        <w:spacing w:beforeAutospacing="0" w:afterAutospacing="0" w:line="240" w:lineRule="auto"/>
        <w:ind w:left="0" w:leftChars="0" w:right="0" w:rightChars="0" w:firstLine="0" w:firstLineChars="0"/>
        <w:jc w:val="center"/>
        <w:rPr>
          <w:rFonts w:ascii="Times New Roman" w:hAnsi="宋体" w:eastAsia="宋体" w:cs="宋体"/>
          <w:b w:val="0"/>
          <w:sz w:val="36"/>
          <w:szCs w:val="28"/>
        </w:rPr>
      </w:pPr>
      <w:r>
        <w:rPr>
          <w:rFonts w:hint="eastAsia" w:ascii="Times New Roman" w:hAnsi="宋体" w:eastAsia="宋体" w:cs="宋体"/>
          <w:b w:val="0"/>
          <w:sz w:val="36"/>
          <w:szCs w:val="28"/>
        </w:rPr>
        <w:t>——来自2000—2024年省级面板数据的实证分析</w:t>
      </w:r>
    </w:p>
    <w:p w14:paraId="3268ADDB">
      <w:pPr>
        <w:rPr>
          <w:rFonts w:ascii="宋体" w:hAnsi="宋体" w:eastAsia="宋体" w:cs="宋体"/>
          <w:sz w:val="24"/>
        </w:rPr>
      </w:pPr>
    </w:p>
    <w:p w14:paraId="211E395B">
      <w:pPr>
        <w:snapToGrid/>
        <w:spacing w:beforeAutospacing="0" w:afterAutospacing="0" w:line="324" w:lineRule="auto"/>
        <w:ind w:left="0" w:leftChars="0" w:right="0" w:rightChars="0" w:firstLine="482" w:firstLineChars="200"/>
        <w:jc w:val="both"/>
        <w:rPr>
          <w:rFonts w:ascii="宋体" w:hAnsi="宋体" w:eastAsia="宋体" w:cs="宋体"/>
        </w:rPr>
      </w:pPr>
      <w:r>
        <w:rPr>
          <w:rFonts w:hint="eastAsia" w:ascii="Times New Roman" w:hAnsi="宋体" w:eastAsia="宋体" w:cs="宋体"/>
          <w:b/>
          <w:bCs/>
          <w:i w:val="0"/>
          <w:sz w:val="24"/>
        </w:rPr>
        <w:t>摘要</w:t>
      </w:r>
      <w:r>
        <w:rPr>
          <w:rFonts w:hint="eastAsia" w:ascii="Times New Roman" w:hAnsi="宋体" w:eastAsia="宋体" w:cs="宋体"/>
          <w:b/>
          <w:i w:val="0"/>
          <w:sz w:val="24"/>
        </w:rPr>
        <w:t>：</w:t>
      </w:r>
      <w:r>
        <w:rPr>
          <w:rFonts w:hint="eastAsia" w:ascii="Times New Roman" w:hAnsi="宋体" w:eastAsia="宋体" w:cs="宋体"/>
          <w:b w:val="0"/>
          <w:i w:val="0"/>
          <w:sz w:val="24"/>
        </w:rPr>
        <w:t>税收是地方政府财政收入的核心来源，税负水平的合理设定对区域经济协调发展具有重要影响。本文基于中国31个省份2000—2024年的省级面板数据[1]，以“税负水平”为预测目标，构建了线性回归、随机森林[5]和XGBoost[6]三种机器学习模型，系统考察经济发展水平、产业结构、财政支持力度、城镇化率等多维因素对税负水平的预测能力。研究发现：XGBoost模型的预测效果最优（测试集R²=0.879，RMSE=0.0116），随机森林次之（R²=0.827），传统线性回归表现最弱（R²=0.544），表明税负水平与各影响因素之间存在复杂的非线性关系[7]。特征重要性分析显示，经济发展水平、财政支持力度和产业结构高级化是影响税负水平的前三位关键因素[2][4]。本文的研究为理解中国省域税负差异的形成机制提供了数据驱动的实证证据，也为地方政府优化税收政策提供了参考依据[3]。</w:t>
      </w:r>
    </w:p>
    <w:p w14:paraId="2A71240A">
      <w:pPr>
        <w:snapToGrid/>
        <w:spacing w:beforeAutospacing="0" w:afterAutospacing="0" w:line="324" w:lineRule="auto"/>
        <w:ind w:left="0" w:leftChars="0" w:right="0" w:rightChars="0" w:firstLine="480" w:firstLineChars="200"/>
        <w:jc w:val="both"/>
        <w:rPr>
          <w:rFonts w:ascii="Times New Roman" w:hAnsi="宋体" w:eastAsia="宋体" w:cs="宋体"/>
          <w:b w:val="0"/>
          <w:i w:val="0"/>
          <w:sz w:val="24"/>
        </w:rPr>
      </w:pPr>
    </w:p>
    <w:p w14:paraId="6093B952">
      <w:pPr>
        <w:snapToGrid/>
        <w:spacing w:beforeAutospacing="0" w:afterAutospacing="0" w:line="324" w:lineRule="auto"/>
        <w:ind w:left="0" w:leftChars="0" w:right="0" w:rightChars="0" w:firstLine="482" w:firstLineChars="200"/>
        <w:jc w:val="both"/>
        <w:rPr>
          <w:rFonts w:ascii="宋体" w:hAnsi="宋体" w:eastAsia="宋体" w:cs="宋体"/>
          <w:sz w:val="24"/>
        </w:rPr>
      </w:pPr>
      <w:r>
        <w:rPr>
          <w:rFonts w:hint="eastAsia" w:ascii="Times New Roman" w:hAnsi="宋体" w:eastAsia="宋体" w:cs="宋体"/>
          <w:b/>
          <w:bCs/>
          <w:i w:val="0"/>
          <w:sz w:val="24"/>
        </w:rPr>
        <w:t>关键词</w:t>
      </w:r>
      <w:r>
        <w:rPr>
          <w:rFonts w:hint="eastAsia" w:ascii="Times New Roman" w:hAnsi="宋体" w:eastAsia="宋体" w:cs="宋体"/>
          <w:b/>
          <w:i w:val="0"/>
          <w:sz w:val="24"/>
        </w:rPr>
        <w:t>：</w:t>
      </w:r>
      <w:r>
        <w:rPr>
          <w:rFonts w:hint="eastAsia" w:ascii="Times New Roman" w:hAnsi="宋体" w:eastAsia="宋体" w:cs="宋体"/>
          <w:b w:val="0"/>
          <w:i w:val="0"/>
          <w:sz w:val="24"/>
        </w:rPr>
        <w:t>税负水平；面板数据；机器学习；XGBoost；随机森林；区域经济</w:t>
      </w:r>
    </w:p>
    <w:p w14:paraId="127B61ED">
      <w:pPr>
        <w:rPr>
          <w:rFonts w:ascii="宋体" w:hAnsi="宋体" w:eastAsia="宋体" w:cs="宋体"/>
        </w:rPr>
      </w:pPr>
    </w:p>
    <w:p w14:paraId="4DAB28FF">
      <w:pPr>
        <w:rPr>
          <w:rFonts w:ascii="宋体" w:hAnsi="宋体" w:eastAsia="宋体" w:cs="宋体"/>
        </w:rPr>
      </w:pPr>
    </w:p>
    <w:p w14:paraId="4E9B9784">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szCs w:val="28"/>
        </w:rPr>
      </w:pPr>
      <w:r>
        <w:rPr>
          <w:rFonts w:hint="eastAsia" w:ascii="宋体" w:hAnsi="宋体" w:eastAsia="宋体" w:cs="宋体"/>
          <w:b w:val="0"/>
          <w:sz w:val="28"/>
          <w:szCs w:val="28"/>
        </w:rPr>
        <w:t>一、问题定义与业务理解</w:t>
      </w:r>
    </w:p>
    <w:p w14:paraId="2270029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57EA569">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1.1 研究问题</w:t>
      </w:r>
    </w:p>
    <w:p w14:paraId="6A2C3F6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33D870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税收是政府调节经济运行、提供公共服务的重要工具。在中国分税制财政体制下，省级政府的税收收入既关系到地方财政的可持续性，也直接影响区域经济的发展活力。已有研究表明，中国宏观税负水平存在显著的区域异质性，这种差异受到经济发展阶段、产业结构特征、对外开放程度、城镇化水平等多重因素的综合影响[2][3]。理解这些因素如何影响税负水平，对于优化税收政策、促进区域协调发展具有重要的现实意义。</w:t>
      </w:r>
    </w:p>
    <w:p w14:paraId="1C686B2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41548B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文的研究问题为：基于中国省级面板数据，构建机器学习模型预测各省份的税负水平，并识别影响税负水平的关键因素。具体而言，本文以各省份的“税负水平”（税收收入占地区生产总值的比重）作为目标变量，利用经济发展水平、产业结构、财政支持力度、城镇化率、对外开放程度等20余个社会经济特征，建立预测模型。</w:t>
      </w:r>
    </w:p>
    <w:p w14:paraId="7E05851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637C990">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1.2 应用价值</w:t>
      </w:r>
    </w:p>
    <w:p w14:paraId="225B5B4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C8058A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本研究的应用价值体现在三个层面：</w:t>
      </w:r>
    </w:p>
    <w:p w14:paraId="7CA0AD42">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BEE660D">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第一，为税收政策制定提供数据支撑。 通过识别影响税负水平的关键因素，可以帮助决策者理解不同地区税负差异的形成原因，从而制定更加精准的区域税收政策。</w:t>
      </w:r>
    </w:p>
    <w:p w14:paraId="5A9B87A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171AE4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第二，为财政风险评估提供预警工具。 税负水平的异常波动可能反映区域经济结构失衡或税收征管问题，预测模型可以作为监测工具，及时发现潜在风险。</w:t>
      </w:r>
    </w:p>
    <w:p w14:paraId="6E8A38F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365538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第三，为机器学习方法在经济领域的应用提供示范。 传统税负研究多采用线性回归、面板数据模型等计量方法，本文引入集成学习方法[5][6]，探索非线性关系建模在税收研究中的适用性。</w:t>
      </w:r>
    </w:p>
    <w:p w14:paraId="464E5912">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7DD0584">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1.3 目标变量定义</w:t>
      </w:r>
    </w:p>
    <w:p w14:paraId="4A4F8EB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5325D6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本文的目标变量为 “税负水平” （变量名：税负水平），定义为各省份税收收入占该省份地区生产总值（GDP）的比重。该指标反映了宏观层面地方政府从经济活动中获取税收收入的能力，是衡量地区税收负担的核心指标[3]。在数据集中，该变量为连续数值型变量，取值范围约为0.03至0.18之间。</w:t>
      </w:r>
    </w:p>
    <w:p w14:paraId="79F66AE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4D12911">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F37FE00">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szCs w:val="28"/>
        </w:rPr>
      </w:pPr>
      <w:r>
        <w:rPr>
          <w:rFonts w:hint="eastAsia" w:ascii="宋体" w:hAnsi="宋体" w:eastAsia="宋体" w:cs="宋体"/>
          <w:b w:val="0"/>
          <w:sz w:val="28"/>
          <w:szCs w:val="28"/>
        </w:rPr>
        <w:t>二、数据获取与描述</w:t>
      </w:r>
    </w:p>
    <w:p w14:paraId="340B852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319B580">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2.1 数据来源</w:t>
      </w:r>
    </w:p>
    <w:p w14:paraId="416A9A9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64306C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研究使用的数据为2000—2024年中国31个省级行政单位（包括省、自治区、直辖市）的面板数据，涵盖北京市、天津市、河北省等31个省份[1]。数据来源于政府统计部门发布的官方统计数据（主要包括历年《中国统计年鉴》[1]），经过了系统的采集、整理和标准化处理。</w:t>
      </w:r>
    </w:p>
    <w:p w14:paraId="1CFCCA6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BFDE932">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2.2 数据规模与结构</w:t>
      </w:r>
    </w:p>
    <w:p w14:paraId="28AE8F0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B83860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数据集的基本信息如下：</w:t>
      </w:r>
    </w:p>
    <w:p w14:paraId="203EB10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CC05B2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时间跨度：2000—2024年，共25个年度</w:t>
      </w:r>
    </w:p>
    <w:p w14:paraId="2A60CAF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横截面单位：31个省份</w:t>
      </w:r>
    </w:p>
    <w:p w14:paraId="7864CC8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样本总量：775条记录（31省份 × 25年）</w:t>
      </w:r>
    </w:p>
    <w:p w14:paraId="1286007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变量数量：23个变量（含年份、省份编码、省份名称及20个经济特征变量）</w:t>
      </w:r>
    </w:p>
    <w:p w14:paraId="6DDA2141">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377B80D">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2.3 变量说明</w:t>
      </w:r>
    </w:p>
    <w:p w14:paraId="6117439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2735F6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数据集包含以下核心变量：</w:t>
      </w:r>
    </w:p>
    <w:p w14:paraId="43E4387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6DAB26E">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（1）标识变量</w:t>
      </w:r>
    </w:p>
    <w:p w14:paraId="557AFCD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year：年份（2000—2024）</w:t>
      </w:r>
    </w:p>
    <w:p w14:paraId="7755149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省份编码：省级行政区代码</w:t>
      </w:r>
    </w:p>
    <w:p w14:paraId="37A2FC1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省份名称：省级行政区名称</w:t>
      </w:r>
    </w:p>
    <w:p w14:paraId="58C1121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38A042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（2）目标变量</w:t>
      </w:r>
    </w:p>
    <w:p w14:paraId="5A69346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税负水平：税收收入占GDP的比重</w:t>
      </w:r>
    </w:p>
    <w:p w14:paraId="50ABC8B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8B12DB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（3）特征变量（共20个）</w:t>
      </w:r>
    </w:p>
    <w:p w14:paraId="47C07C8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tbl>
      <w:tblPr>
        <w:tblStyle w:val="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5"/>
      </w:tblGrid>
      <w:tr w14:paraId="1F5435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000000" w:sz="12" w:space="0"/>
              <w:left w:val="nil"/>
              <w:bottom w:val="single" w:color="000000" w:sz="4" w:space="0"/>
              <w:right w:val="nil"/>
              <w:insideV w:val="nil"/>
              <w:tl2br w:val="nil"/>
              <w:tr2bl w:val="nil"/>
            </w:tcBorders>
            <w:shd w:val="clear" w:color="auto" w:fill="FFFFFF"/>
          </w:tcPr>
          <w:p w14:paraId="2D85ADD6">
            <w:pPr>
              <w:rPr>
                <w:color w:val="000000"/>
              </w:rPr>
            </w:pPr>
            <w:r>
              <w:rPr>
                <w:rFonts w:hint="eastAsia" w:ascii="宋体" w:hAnsi="宋体" w:eastAsia="宋体" w:cs="宋体"/>
                <w:color w:val="000000"/>
              </w:rPr>
              <w:t xml:space="preserve"> 变量名称 </w:t>
            </w:r>
          </w:p>
        </w:tc>
        <w:tc>
          <w:tcPr>
            <w:tcW w:w="1704" w:type="dxa"/>
            <w:tcBorders>
              <w:top w:val="single" w:color="000000" w:sz="12" w:space="0"/>
              <w:bottom w:val="single" w:color="000000" w:sz="4" w:space="0"/>
              <w:right w:val="nil"/>
              <w:insideV w:val="nil"/>
              <w:tl2br w:val="nil"/>
              <w:tr2bl w:val="nil"/>
            </w:tcBorders>
            <w:shd w:val="clear" w:color="auto" w:fill="FFFFFF"/>
          </w:tcPr>
          <w:p w14:paraId="359D24B7">
            <w:pPr>
              <w:rPr>
                <w:color w:val="000000"/>
              </w:rPr>
            </w:pPr>
            <w:r>
              <w:rPr>
                <w:rFonts w:hint="eastAsia" w:ascii="宋体" w:hAnsi="宋体" w:eastAsia="宋体" w:cs="宋体"/>
                <w:color w:val="000000"/>
              </w:rPr>
              <w:t xml:space="preserve"> 含义 </w:t>
            </w:r>
          </w:p>
        </w:tc>
        <w:tc>
          <w:tcPr>
            <w:tcW w:w="1705" w:type="dxa"/>
            <w:tcBorders>
              <w:top w:val="single" w:color="000000" w:sz="12" w:space="0"/>
              <w:bottom w:val="single" w:color="000000" w:sz="4" w:space="0"/>
              <w:right w:val="nil"/>
              <w:insideV w:val="nil"/>
              <w:tl2br w:val="nil"/>
              <w:tr2bl w:val="nil"/>
            </w:tcBorders>
            <w:shd w:val="clear" w:color="auto" w:fill="FFFFFF"/>
          </w:tcPr>
          <w:p w14:paraId="2D192CF8">
            <w:pPr>
              <w:rPr>
                <w:color w:val="000000"/>
              </w:rPr>
            </w:pPr>
            <w:r>
              <w:rPr>
                <w:rFonts w:hint="eastAsia" w:ascii="宋体" w:hAnsi="宋体" w:eastAsia="宋体" w:cs="宋体"/>
                <w:color w:val="000000"/>
              </w:rPr>
              <w:t xml:space="preserve"> 预期与税负的关系 </w:t>
            </w:r>
          </w:p>
        </w:tc>
      </w:tr>
      <w:tr w14:paraId="683D43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000000" w:sz="4" w:space="0"/>
              <w:left w:val="nil"/>
              <w:bottom w:val="nil"/>
              <w:right w:val="nil"/>
            </w:tcBorders>
            <w:shd w:val="clear" w:color="auto" w:fill="FFFFFF"/>
          </w:tcPr>
          <w:p w14:paraId="0A5EFB59">
            <w:pPr>
              <w:rPr>
                <w:color w:val="000000"/>
              </w:rPr>
            </w:pPr>
            <w:r>
              <w:rPr>
                <w:rFonts w:hint="eastAsia" w:ascii="宋体" w:hAnsi="宋体" w:eastAsia="宋体" w:cs="宋体"/>
                <w:color w:val="000000"/>
              </w:rPr>
              <w:t xml:space="preserve"> 财政支持力度 </w:t>
            </w:r>
          </w:p>
        </w:tc>
        <w:tc>
          <w:tcPr>
            <w:tcW w:w="1704" w:type="dxa"/>
            <w:tcBorders>
              <w:top w:val="single" w:color="000000" w:sz="4" w:space="0"/>
              <w:left w:val="nil"/>
              <w:bottom w:val="nil"/>
              <w:right w:val="nil"/>
            </w:tcBorders>
            <w:shd w:val="clear" w:color="auto" w:fill="FFFFFF"/>
          </w:tcPr>
          <w:p w14:paraId="20139472">
            <w:pPr>
              <w:rPr>
                <w:color w:val="000000"/>
              </w:rPr>
            </w:pPr>
            <w:r>
              <w:rPr>
                <w:rFonts w:hint="eastAsia" w:ascii="宋体" w:hAnsi="宋体" w:eastAsia="宋体" w:cs="宋体"/>
                <w:color w:val="000000"/>
              </w:rPr>
              <w:t xml:space="preserve"> 财政支出占GDP比重 </w:t>
            </w:r>
          </w:p>
        </w:tc>
        <w:tc>
          <w:tcPr>
            <w:tcW w:w="1705" w:type="dxa"/>
            <w:tcBorders>
              <w:top w:val="single" w:color="000000" w:sz="4" w:space="0"/>
              <w:left w:val="nil"/>
              <w:bottom w:val="nil"/>
              <w:right w:val="nil"/>
            </w:tcBorders>
            <w:shd w:val="clear" w:color="auto" w:fill="FFFFFF"/>
          </w:tcPr>
          <w:p w14:paraId="48255A11">
            <w:pPr>
              <w:rPr>
                <w:color w:val="000000"/>
              </w:rPr>
            </w:pPr>
            <w:r>
              <w:rPr>
                <w:rFonts w:hint="eastAsia" w:ascii="宋体" w:hAnsi="宋体" w:eastAsia="宋体" w:cs="宋体"/>
                <w:color w:val="000000"/>
              </w:rPr>
              <w:t xml:space="preserve"> 正相关 </w:t>
            </w:r>
          </w:p>
        </w:tc>
      </w:tr>
      <w:tr w14:paraId="0A7EA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158C4354">
            <w:pPr>
              <w:rPr>
                <w:color w:val="000000"/>
              </w:rPr>
            </w:pPr>
            <w:r>
              <w:rPr>
                <w:rFonts w:hint="eastAsia" w:ascii="宋体" w:hAnsi="宋体" w:eastAsia="宋体" w:cs="宋体"/>
                <w:color w:val="000000"/>
              </w:rPr>
              <w:t xml:space="preserve"> 经济发展水平 </w:t>
            </w:r>
          </w:p>
        </w:tc>
        <w:tc>
          <w:tcPr>
            <w:tcW w:w="1704" w:type="dxa"/>
            <w:tcBorders>
              <w:top w:val="nil"/>
              <w:left w:val="nil"/>
              <w:bottom w:val="nil"/>
              <w:right w:val="nil"/>
            </w:tcBorders>
            <w:shd w:val="clear" w:color="auto" w:fill="FFFFFF"/>
          </w:tcPr>
          <w:p w14:paraId="0D31ADCB">
            <w:pPr>
              <w:rPr>
                <w:color w:val="000000"/>
              </w:rPr>
            </w:pPr>
            <w:r>
              <w:rPr>
                <w:rFonts w:hint="eastAsia" w:ascii="宋体" w:hAnsi="宋体" w:eastAsia="宋体" w:cs="宋体"/>
                <w:color w:val="000000"/>
              </w:rPr>
              <w:t xml:space="preserve"> 人均GDP（对数） </w:t>
            </w:r>
          </w:p>
        </w:tc>
        <w:tc>
          <w:tcPr>
            <w:tcW w:w="1705" w:type="dxa"/>
            <w:tcBorders>
              <w:top w:val="nil"/>
              <w:left w:val="nil"/>
              <w:bottom w:val="nil"/>
              <w:right w:val="nil"/>
            </w:tcBorders>
            <w:shd w:val="clear" w:color="auto" w:fill="FFFFFF"/>
          </w:tcPr>
          <w:p w14:paraId="1C97BCB4">
            <w:pPr>
              <w:rPr>
                <w:color w:val="000000"/>
              </w:rPr>
            </w:pPr>
            <w:r>
              <w:rPr>
                <w:rFonts w:hint="eastAsia" w:ascii="宋体" w:hAnsi="宋体" w:eastAsia="宋体" w:cs="宋体"/>
                <w:color w:val="000000"/>
              </w:rPr>
              <w:t xml:space="preserve"> 正相关 </w:t>
            </w:r>
          </w:p>
        </w:tc>
      </w:tr>
      <w:tr w14:paraId="66069F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F2CCA5F">
            <w:pPr>
              <w:rPr>
                <w:color w:val="000000"/>
              </w:rPr>
            </w:pPr>
            <w:r>
              <w:rPr>
                <w:rFonts w:hint="eastAsia" w:ascii="宋体" w:hAnsi="宋体" w:eastAsia="宋体" w:cs="宋体"/>
                <w:color w:val="000000"/>
              </w:rPr>
              <w:t xml:space="preserve"> 社会消费水平 </w:t>
            </w:r>
          </w:p>
        </w:tc>
        <w:tc>
          <w:tcPr>
            <w:tcW w:w="1704" w:type="dxa"/>
            <w:tcBorders>
              <w:top w:val="nil"/>
              <w:left w:val="nil"/>
              <w:bottom w:val="nil"/>
              <w:right w:val="nil"/>
            </w:tcBorders>
            <w:shd w:val="clear" w:color="auto" w:fill="FFFFFF"/>
          </w:tcPr>
          <w:p w14:paraId="68D2A88E">
            <w:pPr>
              <w:rPr>
                <w:color w:val="000000"/>
              </w:rPr>
            </w:pPr>
            <w:r>
              <w:rPr>
                <w:rFonts w:hint="eastAsia" w:ascii="宋体" w:hAnsi="宋体" w:eastAsia="宋体" w:cs="宋体"/>
                <w:color w:val="000000"/>
              </w:rPr>
              <w:t xml:space="preserve"> 社会消费品零售总额占GDP比重 </w:t>
            </w:r>
          </w:p>
        </w:tc>
        <w:tc>
          <w:tcPr>
            <w:tcW w:w="1705" w:type="dxa"/>
            <w:tcBorders>
              <w:top w:val="nil"/>
              <w:left w:val="nil"/>
              <w:bottom w:val="nil"/>
              <w:right w:val="nil"/>
            </w:tcBorders>
            <w:shd w:val="clear" w:color="auto" w:fill="FFFFFF"/>
          </w:tcPr>
          <w:p w14:paraId="0857281C">
            <w:pPr>
              <w:rPr>
                <w:color w:val="000000"/>
              </w:rPr>
            </w:pPr>
            <w:r>
              <w:rPr>
                <w:rFonts w:hint="eastAsia" w:ascii="宋体" w:hAnsi="宋体" w:eastAsia="宋体" w:cs="宋体"/>
                <w:color w:val="000000"/>
              </w:rPr>
              <w:t xml:space="preserve"> 不确定 </w:t>
            </w:r>
          </w:p>
        </w:tc>
      </w:tr>
      <w:tr w14:paraId="15B60D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53245E77">
            <w:pPr>
              <w:rPr>
                <w:color w:val="000000"/>
              </w:rPr>
            </w:pPr>
            <w:r>
              <w:rPr>
                <w:rFonts w:hint="eastAsia" w:ascii="宋体" w:hAnsi="宋体" w:eastAsia="宋体" w:cs="宋体"/>
                <w:color w:val="000000"/>
              </w:rPr>
              <w:t xml:space="preserve"> 城镇化率 </w:t>
            </w:r>
          </w:p>
        </w:tc>
        <w:tc>
          <w:tcPr>
            <w:tcW w:w="1704" w:type="dxa"/>
            <w:tcBorders>
              <w:top w:val="nil"/>
              <w:left w:val="nil"/>
              <w:bottom w:val="nil"/>
              <w:right w:val="nil"/>
            </w:tcBorders>
            <w:shd w:val="clear" w:color="auto" w:fill="FFFFFF"/>
          </w:tcPr>
          <w:p w14:paraId="40BA8D1A">
            <w:pPr>
              <w:rPr>
                <w:color w:val="000000"/>
              </w:rPr>
            </w:pPr>
            <w:r>
              <w:rPr>
                <w:rFonts w:hint="eastAsia" w:ascii="宋体" w:hAnsi="宋体" w:eastAsia="宋体" w:cs="宋体"/>
                <w:color w:val="000000"/>
              </w:rPr>
              <w:t xml:space="preserve"> 城镇人口占总人口比重 </w:t>
            </w:r>
          </w:p>
        </w:tc>
        <w:tc>
          <w:tcPr>
            <w:tcW w:w="1705" w:type="dxa"/>
            <w:tcBorders>
              <w:top w:val="nil"/>
              <w:left w:val="nil"/>
              <w:bottom w:val="nil"/>
              <w:right w:val="nil"/>
            </w:tcBorders>
            <w:shd w:val="clear" w:color="auto" w:fill="FFFFFF"/>
          </w:tcPr>
          <w:p w14:paraId="278222F9">
            <w:pPr>
              <w:rPr>
                <w:color w:val="000000"/>
              </w:rPr>
            </w:pPr>
            <w:r>
              <w:rPr>
                <w:rFonts w:hint="eastAsia" w:ascii="宋体" w:hAnsi="宋体" w:eastAsia="宋体" w:cs="宋体"/>
                <w:color w:val="000000"/>
              </w:rPr>
              <w:t xml:space="preserve"> 正相关 </w:t>
            </w:r>
          </w:p>
        </w:tc>
      </w:tr>
      <w:tr w14:paraId="18BC5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5A05F6BA">
            <w:pPr>
              <w:rPr>
                <w:color w:val="000000"/>
              </w:rPr>
            </w:pPr>
            <w:r>
              <w:rPr>
                <w:rFonts w:hint="eastAsia" w:ascii="宋体" w:hAnsi="宋体" w:eastAsia="宋体" w:cs="宋体"/>
                <w:color w:val="000000"/>
              </w:rPr>
              <w:t xml:space="preserve"> 产业结构三产GDP </w:t>
            </w:r>
          </w:p>
        </w:tc>
        <w:tc>
          <w:tcPr>
            <w:tcW w:w="1704" w:type="dxa"/>
            <w:tcBorders>
              <w:top w:val="nil"/>
              <w:left w:val="nil"/>
              <w:bottom w:val="nil"/>
              <w:right w:val="nil"/>
            </w:tcBorders>
            <w:shd w:val="clear" w:color="auto" w:fill="FFFFFF"/>
          </w:tcPr>
          <w:p w14:paraId="59122D51">
            <w:pPr>
              <w:rPr>
                <w:color w:val="000000"/>
              </w:rPr>
            </w:pPr>
            <w:r>
              <w:rPr>
                <w:rFonts w:hint="eastAsia" w:ascii="宋体" w:hAnsi="宋体" w:eastAsia="宋体" w:cs="宋体"/>
                <w:color w:val="000000"/>
              </w:rPr>
              <w:t xml:space="preserve"> 第三产业增加值占GDP比重 </w:t>
            </w:r>
          </w:p>
        </w:tc>
        <w:tc>
          <w:tcPr>
            <w:tcW w:w="1705" w:type="dxa"/>
            <w:tcBorders>
              <w:top w:val="nil"/>
              <w:left w:val="nil"/>
              <w:bottom w:val="nil"/>
              <w:right w:val="nil"/>
            </w:tcBorders>
            <w:shd w:val="clear" w:color="auto" w:fill="FFFFFF"/>
          </w:tcPr>
          <w:p w14:paraId="54173DD1">
            <w:pPr>
              <w:rPr>
                <w:color w:val="000000"/>
              </w:rPr>
            </w:pPr>
            <w:r>
              <w:rPr>
                <w:rFonts w:hint="eastAsia" w:ascii="宋体" w:hAnsi="宋体" w:eastAsia="宋体" w:cs="宋体"/>
                <w:color w:val="000000"/>
              </w:rPr>
              <w:t xml:space="preserve"> 正相关 </w:t>
            </w:r>
          </w:p>
        </w:tc>
      </w:tr>
      <w:tr w14:paraId="6D40E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7C56F5B1">
            <w:pPr>
              <w:rPr>
                <w:color w:val="000000"/>
              </w:rPr>
            </w:pPr>
            <w:r>
              <w:rPr>
                <w:rFonts w:hint="eastAsia" w:ascii="宋体" w:hAnsi="宋体" w:eastAsia="宋体" w:cs="宋体"/>
                <w:color w:val="000000"/>
              </w:rPr>
              <w:t xml:space="preserve"> 产业结构高度化 </w:t>
            </w:r>
          </w:p>
        </w:tc>
        <w:tc>
          <w:tcPr>
            <w:tcW w:w="1704" w:type="dxa"/>
            <w:tcBorders>
              <w:top w:val="nil"/>
              <w:left w:val="nil"/>
              <w:bottom w:val="nil"/>
              <w:right w:val="nil"/>
            </w:tcBorders>
            <w:shd w:val="clear" w:color="auto" w:fill="FFFFFF"/>
          </w:tcPr>
          <w:p w14:paraId="1CC5338A">
            <w:pPr>
              <w:rPr>
                <w:color w:val="000000"/>
              </w:rPr>
            </w:pPr>
            <w:r>
              <w:rPr>
                <w:rFonts w:hint="eastAsia" w:ascii="宋体" w:hAnsi="宋体" w:eastAsia="宋体" w:cs="宋体"/>
                <w:color w:val="000000"/>
              </w:rPr>
              <w:t xml:space="preserve"> 产业结构升级指数 </w:t>
            </w:r>
          </w:p>
        </w:tc>
        <w:tc>
          <w:tcPr>
            <w:tcW w:w="1705" w:type="dxa"/>
            <w:tcBorders>
              <w:top w:val="nil"/>
              <w:left w:val="nil"/>
              <w:bottom w:val="nil"/>
              <w:right w:val="nil"/>
            </w:tcBorders>
            <w:shd w:val="clear" w:color="auto" w:fill="FFFFFF"/>
          </w:tcPr>
          <w:p w14:paraId="27F86C41">
            <w:pPr>
              <w:rPr>
                <w:color w:val="000000"/>
              </w:rPr>
            </w:pPr>
            <w:r>
              <w:rPr>
                <w:rFonts w:hint="eastAsia" w:ascii="宋体" w:hAnsi="宋体" w:eastAsia="宋体" w:cs="宋体"/>
                <w:color w:val="000000"/>
              </w:rPr>
              <w:t xml:space="preserve"> 正相关 </w:t>
            </w:r>
          </w:p>
        </w:tc>
      </w:tr>
      <w:tr w14:paraId="4BCB93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77E01FEC">
            <w:pPr>
              <w:rPr>
                <w:color w:val="000000"/>
              </w:rPr>
            </w:pPr>
            <w:r>
              <w:rPr>
                <w:rFonts w:hint="eastAsia" w:ascii="宋体" w:hAnsi="宋体" w:eastAsia="宋体" w:cs="宋体"/>
                <w:color w:val="000000"/>
              </w:rPr>
              <w:t xml:space="preserve"> 产业结构高级化 </w:t>
            </w:r>
          </w:p>
        </w:tc>
        <w:tc>
          <w:tcPr>
            <w:tcW w:w="1704" w:type="dxa"/>
            <w:tcBorders>
              <w:top w:val="nil"/>
              <w:left w:val="nil"/>
              <w:bottom w:val="nil"/>
              <w:right w:val="nil"/>
            </w:tcBorders>
            <w:shd w:val="clear" w:color="auto" w:fill="FFFFFF"/>
          </w:tcPr>
          <w:p w14:paraId="20C2A1E1">
            <w:pPr>
              <w:rPr>
                <w:color w:val="000000"/>
              </w:rPr>
            </w:pPr>
            <w:r>
              <w:rPr>
                <w:rFonts w:hint="eastAsia" w:ascii="宋体" w:hAnsi="宋体" w:eastAsia="宋体" w:cs="宋体"/>
                <w:color w:val="000000"/>
              </w:rPr>
              <w:t xml:space="preserve"> 产业结构高级化指数 </w:t>
            </w:r>
          </w:p>
        </w:tc>
        <w:tc>
          <w:tcPr>
            <w:tcW w:w="1705" w:type="dxa"/>
            <w:tcBorders>
              <w:top w:val="nil"/>
              <w:left w:val="nil"/>
              <w:bottom w:val="nil"/>
              <w:right w:val="nil"/>
            </w:tcBorders>
            <w:shd w:val="clear" w:color="auto" w:fill="FFFFFF"/>
          </w:tcPr>
          <w:p w14:paraId="1F96D98D">
            <w:pPr>
              <w:rPr>
                <w:color w:val="000000"/>
              </w:rPr>
            </w:pPr>
            <w:r>
              <w:rPr>
                <w:rFonts w:hint="eastAsia" w:ascii="宋体" w:hAnsi="宋体" w:eastAsia="宋体" w:cs="宋体"/>
                <w:color w:val="000000"/>
              </w:rPr>
              <w:t xml:space="preserve"> 正相关[4] </w:t>
            </w:r>
          </w:p>
        </w:tc>
      </w:tr>
      <w:tr w14:paraId="7AEE5C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8BA3475">
            <w:pPr>
              <w:rPr>
                <w:color w:val="000000"/>
              </w:rPr>
            </w:pPr>
            <w:r>
              <w:rPr>
                <w:rFonts w:hint="eastAsia" w:ascii="宋体" w:hAnsi="宋体" w:eastAsia="宋体" w:cs="宋体"/>
                <w:color w:val="000000"/>
              </w:rPr>
              <w:t xml:space="preserve"> 金融发展水平 </w:t>
            </w:r>
          </w:p>
        </w:tc>
        <w:tc>
          <w:tcPr>
            <w:tcW w:w="1704" w:type="dxa"/>
            <w:tcBorders>
              <w:top w:val="nil"/>
              <w:left w:val="nil"/>
              <w:bottom w:val="nil"/>
              <w:right w:val="nil"/>
            </w:tcBorders>
            <w:shd w:val="clear" w:color="auto" w:fill="FFFFFF"/>
          </w:tcPr>
          <w:p w14:paraId="76510E7F">
            <w:pPr>
              <w:rPr>
                <w:color w:val="000000"/>
              </w:rPr>
            </w:pPr>
            <w:r>
              <w:rPr>
                <w:rFonts w:hint="eastAsia" w:ascii="宋体" w:hAnsi="宋体" w:eastAsia="宋体" w:cs="宋体"/>
                <w:color w:val="000000"/>
              </w:rPr>
              <w:t xml:space="preserve"> 存贷款余额占GDP比重 </w:t>
            </w:r>
          </w:p>
        </w:tc>
        <w:tc>
          <w:tcPr>
            <w:tcW w:w="1705" w:type="dxa"/>
            <w:tcBorders>
              <w:top w:val="nil"/>
              <w:left w:val="nil"/>
              <w:bottom w:val="nil"/>
              <w:right w:val="nil"/>
            </w:tcBorders>
            <w:shd w:val="clear" w:color="auto" w:fill="FFFFFF"/>
          </w:tcPr>
          <w:p w14:paraId="39782AC4">
            <w:pPr>
              <w:rPr>
                <w:color w:val="000000"/>
              </w:rPr>
            </w:pPr>
            <w:r>
              <w:rPr>
                <w:rFonts w:hint="eastAsia" w:ascii="宋体" w:hAnsi="宋体" w:eastAsia="宋体" w:cs="宋体"/>
                <w:color w:val="000000"/>
              </w:rPr>
              <w:t xml:space="preserve"> 正相关 </w:t>
            </w:r>
          </w:p>
        </w:tc>
      </w:tr>
      <w:tr w14:paraId="631797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0FD9BCC">
            <w:pPr>
              <w:rPr>
                <w:color w:val="000000"/>
              </w:rPr>
            </w:pPr>
            <w:r>
              <w:rPr>
                <w:rFonts w:hint="eastAsia" w:ascii="宋体" w:hAnsi="宋体" w:eastAsia="宋体" w:cs="宋体"/>
                <w:color w:val="000000"/>
              </w:rPr>
              <w:t xml:space="preserve"> 城乡居民收入差距 </w:t>
            </w:r>
          </w:p>
        </w:tc>
        <w:tc>
          <w:tcPr>
            <w:tcW w:w="1704" w:type="dxa"/>
            <w:tcBorders>
              <w:top w:val="nil"/>
              <w:left w:val="nil"/>
              <w:bottom w:val="nil"/>
              <w:right w:val="nil"/>
            </w:tcBorders>
            <w:shd w:val="clear" w:color="auto" w:fill="FFFFFF"/>
          </w:tcPr>
          <w:p w14:paraId="1A626BE9">
            <w:pPr>
              <w:rPr>
                <w:color w:val="000000"/>
              </w:rPr>
            </w:pPr>
            <w:r>
              <w:rPr>
                <w:rFonts w:hint="eastAsia" w:ascii="宋体" w:hAnsi="宋体" w:eastAsia="宋体" w:cs="宋体"/>
                <w:color w:val="000000"/>
              </w:rPr>
              <w:t xml:space="preserve"> 城乡收入比 </w:t>
            </w:r>
          </w:p>
        </w:tc>
        <w:tc>
          <w:tcPr>
            <w:tcW w:w="1705" w:type="dxa"/>
            <w:tcBorders>
              <w:top w:val="nil"/>
              <w:left w:val="nil"/>
              <w:bottom w:val="nil"/>
              <w:right w:val="nil"/>
            </w:tcBorders>
            <w:shd w:val="clear" w:color="auto" w:fill="FFFFFF"/>
          </w:tcPr>
          <w:p w14:paraId="529D7322">
            <w:pPr>
              <w:rPr>
                <w:color w:val="000000"/>
              </w:rPr>
            </w:pPr>
            <w:r>
              <w:rPr>
                <w:rFonts w:hint="eastAsia" w:ascii="宋体" w:hAnsi="宋体" w:eastAsia="宋体" w:cs="宋体"/>
                <w:color w:val="000000"/>
              </w:rPr>
              <w:t xml:space="preserve"> 不确定 </w:t>
            </w:r>
          </w:p>
        </w:tc>
      </w:tr>
      <w:tr w14:paraId="7EDFE8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3ACC1F24">
            <w:pPr>
              <w:rPr>
                <w:color w:val="000000"/>
              </w:rPr>
            </w:pPr>
            <w:r>
              <w:rPr>
                <w:rFonts w:hint="eastAsia" w:ascii="宋体" w:hAnsi="宋体" w:eastAsia="宋体" w:cs="宋体"/>
                <w:color w:val="000000"/>
              </w:rPr>
              <w:t xml:space="preserve"> 人口密度 </w:t>
            </w:r>
          </w:p>
        </w:tc>
        <w:tc>
          <w:tcPr>
            <w:tcW w:w="1704" w:type="dxa"/>
            <w:tcBorders>
              <w:top w:val="nil"/>
              <w:left w:val="nil"/>
              <w:bottom w:val="nil"/>
              <w:right w:val="nil"/>
            </w:tcBorders>
            <w:shd w:val="clear" w:color="auto" w:fill="FFFFFF"/>
          </w:tcPr>
          <w:p w14:paraId="3190A4FC">
            <w:pPr>
              <w:rPr>
                <w:color w:val="000000"/>
              </w:rPr>
            </w:pPr>
            <w:r>
              <w:rPr>
                <w:rFonts w:hint="eastAsia" w:ascii="宋体" w:hAnsi="宋体" w:eastAsia="宋体" w:cs="宋体"/>
                <w:color w:val="000000"/>
              </w:rPr>
              <w:t xml:space="preserve"> 单位面积人口数 </w:t>
            </w:r>
          </w:p>
        </w:tc>
        <w:tc>
          <w:tcPr>
            <w:tcW w:w="1705" w:type="dxa"/>
            <w:tcBorders>
              <w:top w:val="nil"/>
              <w:left w:val="nil"/>
              <w:bottom w:val="nil"/>
              <w:right w:val="nil"/>
            </w:tcBorders>
            <w:shd w:val="clear" w:color="auto" w:fill="FFFFFF"/>
          </w:tcPr>
          <w:p w14:paraId="3E737269">
            <w:pPr>
              <w:rPr>
                <w:color w:val="000000"/>
              </w:rPr>
            </w:pPr>
            <w:r>
              <w:rPr>
                <w:rFonts w:hint="eastAsia" w:ascii="宋体" w:hAnsi="宋体" w:eastAsia="宋体" w:cs="宋体"/>
                <w:color w:val="000000"/>
              </w:rPr>
              <w:t xml:space="preserve"> 不确定 </w:t>
            </w:r>
          </w:p>
        </w:tc>
      </w:tr>
      <w:tr w14:paraId="4489B6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4123166">
            <w:pPr>
              <w:rPr>
                <w:color w:val="000000"/>
              </w:rPr>
            </w:pPr>
            <w:r>
              <w:rPr>
                <w:rFonts w:hint="eastAsia" w:ascii="宋体" w:hAnsi="宋体" w:eastAsia="宋体" w:cs="宋体"/>
                <w:color w:val="000000"/>
              </w:rPr>
              <w:t xml:space="preserve"> 人力资本水平 </w:t>
            </w:r>
          </w:p>
        </w:tc>
        <w:tc>
          <w:tcPr>
            <w:tcW w:w="1704" w:type="dxa"/>
            <w:tcBorders>
              <w:top w:val="nil"/>
              <w:left w:val="nil"/>
              <w:bottom w:val="nil"/>
              <w:right w:val="nil"/>
            </w:tcBorders>
            <w:shd w:val="clear" w:color="auto" w:fill="FFFFFF"/>
          </w:tcPr>
          <w:p w14:paraId="279D959B">
            <w:pPr>
              <w:rPr>
                <w:color w:val="000000"/>
              </w:rPr>
            </w:pPr>
            <w:r>
              <w:rPr>
                <w:rFonts w:hint="eastAsia" w:ascii="宋体" w:hAnsi="宋体" w:eastAsia="宋体" w:cs="宋体"/>
                <w:color w:val="000000"/>
              </w:rPr>
              <w:t xml:space="preserve"> 平均受教育年限等 </w:t>
            </w:r>
          </w:p>
        </w:tc>
        <w:tc>
          <w:tcPr>
            <w:tcW w:w="1705" w:type="dxa"/>
            <w:tcBorders>
              <w:top w:val="nil"/>
              <w:left w:val="nil"/>
              <w:bottom w:val="nil"/>
              <w:right w:val="nil"/>
            </w:tcBorders>
            <w:shd w:val="clear" w:color="auto" w:fill="FFFFFF"/>
          </w:tcPr>
          <w:p w14:paraId="09CA5871">
            <w:pPr>
              <w:rPr>
                <w:color w:val="000000"/>
              </w:rPr>
            </w:pPr>
            <w:r>
              <w:rPr>
                <w:rFonts w:hint="eastAsia" w:ascii="宋体" w:hAnsi="宋体" w:eastAsia="宋体" w:cs="宋体"/>
                <w:color w:val="000000"/>
              </w:rPr>
              <w:t xml:space="preserve"> 正相关 </w:t>
            </w:r>
          </w:p>
        </w:tc>
      </w:tr>
      <w:tr w14:paraId="11DCE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39330E28">
            <w:pPr>
              <w:rPr>
                <w:color w:val="000000"/>
              </w:rPr>
            </w:pPr>
            <w:r>
              <w:rPr>
                <w:rFonts w:hint="eastAsia" w:ascii="宋体" w:hAnsi="宋体" w:eastAsia="宋体" w:cs="宋体"/>
                <w:color w:val="000000"/>
              </w:rPr>
              <w:t xml:space="preserve"> 劳动力水平 </w:t>
            </w:r>
          </w:p>
        </w:tc>
        <w:tc>
          <w:tcPr>
            <w:tcW w:w="1704" w:type="dxa"/>
            <w:tcBorders>
              <w:top w:val="nil"/>
              <w:left w:val="nil"/>
              <w:bottom w:val="nil"/>
              <w:right w:val="nil"/>
            </w:tcBorders>
            <w:shd w:val="clear" w:color="auto" w:fill="FFFFFF"/>
          </w:tcPr>
          <w:p w14:paraId="0798BAC1">
            <w:pPr>
              <w:rPr>
                <w:color w:val="000000"/>
              </w:rPr>
            </w:pPr>
            <w:r>
              <w:rPr>
                <w:rFonts w:hint="eastAsia" w:ascii="宋体" w:hAnsi="宋体" w:eastAsia="宋体" w:cs="宋体"/>
                <w:color w:val="000000"/>
              </w:rPr>
              <w:t xml:space="preserve"> 劳动力参与率等 </w:t>
            </w:r>
          </w:p>
        </w:tc>
        <w:tc>
          <w:tcPr>
            <w:tcW w:w="1705" w:type="dxa"/>
            <w:tcBorders>
              <w:top w:val="nil"/>
              <w:left w:val="nil"/>
              <w:bottom w:val="nil"/>
              <w:right w:val="nil"/>
            </w:tcBorders>
            <w:shd w:val="clear" w:color="auto" w:fill="FFFFFF"/>
          </w:tcPr>
          <w:p w14:paraId="64F2F187">
            <w:pPr>
              <w:rPr>
                <w:color w:val="000000"/>
              </w:rPr>
            </w:pPr>
            <w:r>
              <w:rPr>
                <w:rFonts w:hint="eastAsia" w:ascii="宋体" w:hAnsi="宋体" w:eastAsia="宋体" w:cs="宋体"/>
                <w:color w:val="000000"/>
              </w:rPr>
              <w:t xml:space="preserve"> 不确定 </w:t>
            </w:r>
          </w:p>
        </w:tc>
      </w:tr>
      <w:tr w14:paraId="6912C2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54050D71">
            <w:pPr>
              <w:rPr>
                <w:color w:val="000000"/>
              </w:rPr>
            </w:pPr>
            <w:r>
              <w:rPr>
                <w:rFonts w:hint="eastAsia" w:ascii="宋体" w:hAnsi="宋体" w:eastAsia="宋体" w:cs="宋体"/>
                <w:color w:val="000000"/>
              </w:rPr>
              <w:t xml:space="preserve"> 研发强度 </w:t>
            </w:r>
          </w:p>
        </w:tc>
        <w:tc>
          <w:tcPr>
            <w:tcW w:w="1704" w:type="dxa"/>
            <w:tcBorders>
              <w:top w:val="nil"/>
              <w:left w:val="nil"/>
              <w:bottom w:val="nil"/>
              <w:right w:val="nil"/>
            </w:tcBorders>
            <w:shd w:val="clear" w:color="auto" w:fill="FFFFFF"/>
          </w:tcPr>
          <w:p w14:paraId="223CF245">
            <w:pPr>
              <w:rPr>
                <w:color w:val="000000"/>
              </w:rPr>
            </w:pPr>
            <w:r>
              <w:rPr>
                <w:rFonts w:hint="eastAsia" w:ascii="宋体" w:hAnsi="宋体" w:eastAsia="宋体" w:cs="宋体"/>
                <w:color w:val="000000"/>
              </w:rPr>
              <w:t xml:space="preserve"> R&amp;D经费占GDP比重 </w:t>
            </w:r>
          </w:p>
        </w:tc>
        <w:tc>
          <w:tcPr>
            <w:tcW w:w="1705" w:type="dxa"/>
            <w:tcBorders>
              <w:top w:val="nil"/>
              <w:left w:val="nil"/>
              <w:bottom w:val="nil"/>
              <w:right w:val="nil"/>
            </w:tcBorders>
            <w:shd w:val="clear" w:color="auto" w:fill="FFFFFF"/>
          </w:tcPr>
          <w:p w14:paraId="21910D7F">
            <w:pPr>
              <w:rPr>
                <w:color w:val="000000"/>
              </w:rPr>
            </w:pPr>
            <w:r>
              <w:rPr>
                <w:rFonts w:hint="eastAsia" w:ascii="宋体" w:hAnsi="宋体" w:eastAsia="宋体" w:cs="宋体"/>
                <w:color w:val="000000"/>
              </w:rPr>
              <w:t xml:space="preserve"> 正相关 </w:t>
            </w:r>
          </w:p>
        </w:tc>
      </w:tr>
      <w:tr w14:paraId="40205F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3E85F4E0">
            <w:pPr>
              <w:rPr>
                <w:color w:val="000000"/>
              </w:rPr>
            </w:pPr>
            <w:r>
              <w:rPr>
                <w:rFonts w:hint="eastAsia" w:ascii="宋体" w:hAnsi="宋体" w:eastAsia="宋体" w:cs="宋体"/>
                <w:color w:val="000000"/>
              </w:rPr>
              <w:t xml:space="preserve"> 工业化水平 </w:t>
            </w:r>
          </w:p>
        </w:tc>
        <w:tc>
          <w:tcPr>
            <w:tcW w:w="1704" w:type="dxa"/>
            <w:tcBorders>
              <w:top w:val="nil"/>
              <w:left w:val="nil"/>
              <w:bottom w:val="nil"/>
              <w:right w:val="nil"/>
            </w:tcBorders>
            <w:shd w:val="clear" w:color="auto" w:fill="FFFFFF"/>
          </w:tcPr>
          <w:p w14:paraId="24C14E83">
            <w:pPr>
              <w:rPr>
                <w:color w:val="000000"/>
              </w:rPr>
            </w:pPr>
            <w:r>
              <w:rPr>
                <w:rFonts w:hint="eastAsia" w:ascii="宋体" w:hAnsi="宋体" w:eastAsia="宋体" w:cs="宋体"/>
                <w:color w:val="000000"/>
              </w:rPr>
              <w:t xml:space="preserve"> 工业增加值占GDP比重 </w:t>
            </w:r>
          </w:p>
        </w:tc>
        <w:tc>
          <w:tcPr>
            <w:tcW w:w="1705" w:type="dxa"/>
            <w:tcBorders>
              <w:top w:val="nil"/>
              <w:left w:val="nil"/>
              <w:bottom w:val="nil"/>
              <w:right w:val="nil"/>
            </w:tcBorders>
            <w:shd w:val="clear" w:color="auto" w:fill="FFFFFF"/>
          </w:tcPr>
          <w:p w14:paraId="31E6A325">
            <w:pPr>
              <w:rPr>
                <w:color w:val="000000"/>
              </w:rPr>
            </w:pPr>
            <w:r>
              <w:rPr>
                <w:rFonts w:hint="eastAsia" w:ascii="宋体" w:hAnsi="宋体" w:eastAsia="宋体" w:cs="宋体"/>
                <w:color w:val="000000"/>
              </w:rPr>
              <w:t xml:space="preserve"> 不确定 </w:t>
            </w:r>
          </w:p>
        </w:tc>
      </w:tr>
      <w:tr w14:paraId="69719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78BDE17">
            <w:pPr>
              <w:rPr>
                <w:color w:val="000000"/>
              </w:rPr>
            </w:pPr>
            <w:r>
              <w:rPr>
                <w:rFonts w:hint="eastAsia" w:ascii="宋体" w:hAnsi="宋体" w:eastAsia="宋体" w:cs="宋体"/>
                <w:color w:val="000000"/>
              </w:rPr>
              <w:t xml:space="preserve"> 技术市场发展水平 </w:t>
            </w:r>
          </w:p>
        </w:tc>
        <w:tc>
          <w:tcPr>
            <w:tcW w:w="1704" w:type="dxa"/>
            <w:tcBorders>
              <w:top w:val="nil"/>
              <w:left w:val="nil"/>
              <w:bottom w:val="nil"/>
              <w:right w:val="nil"/>
            </w:tcBorders>
            <w:shd w:val="clear" w:color="auto" w:fill="FFFFFF"/>
          </w:tcPr>
          <w:p w14:paraId="7C5E28C1">
            <w:pPr>
              <w:rPr>
                <w:color w:val="000000"/>
              </w:rPr>
            </w:pPr>
            <w:r>
              <w:rPr>
                <w:rFonts w:hint="eastAsia" w:ascii="宋体" w:hAnsi="宋体" w:eastAsia="宋体" w:cs="宋体"/>
                <w:color w:val="000000"/>
              </w:rPr>
              <w:t xml:space="preserve"> 技术市场成交额（对数） </w:t>
            </w:r>
          </w:p>
        </w:tc>
        <w:tc>
          <w:tcPr>
            <w:tcW w:w="1705" w:type="dxa"/>
            <w:tcBorders>
              <w:top w:val="nil"/>
              <w:left w:val="nil"/>
              <w:bottom w:val="nil"/>
              <w:right w:val="nil"/>
            </w:tcBorders>
            <w:shd w:val="clear" w:color="auto" w:fill="FFFFFF"/>
          </w:tcPr>
          <w:p w14:paraId="6E939258">
            <w:pPr>
              <w:rPr>
                <w:color w:val="000000"/>
              </w:rPr>
            </w:pPr>
            <w:r>
              <w:rPr>
                <w:rFonts w:hint="eastAsia" w:ascii="宋体" w:hAnsi="宋体" w:eastAsia="宋体" w:cs="宋体"/>
                <w:color w:val="000000"/>
              </w:rPr>
              <w:t xml:space="preserve"> 正相关 </w:t>
            </w:r>
          </w:p>
        </w:tc>
      </w:tr>
      <w:tr w14:paraId="31324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01ED34B8">
            <w:pPr>
              <w:rPr>
                <w:color w:val="000000"/>
              </w:rPr>
            </w:pPr>
            <w:r>
              <w:rPr>
                <w:rFonts w:hint="eastAsia" w:ascii="宋体" w:hAnsi="宋体" w:eastAsia="宋体" w:cs="宋体"/>
                <w:color w:val="000000"/>
              </w:rPr>
              <w:t xml:space="preserve"> 交通基础设施水平1 </w:t>
            </w:r>
          </w:p>
        </w:tc>
        <w:tc>
          <w:tcPr>
            <w:tcW w:w="1704" w:type="dxa"/>
            <w:tcBorders>
              <w:top w:val="nil"/>
              <w:left w:val="nil"/>
              <w:bottom w:val="nil"/>
              <w:right w:val="nil"/>
            </w:tcBorders>
            <w:shd w:val="clear" w:color="auto" w:fill="FFFFFF"/>
          </w:tcPr>
          <w:p w14:paraId="685F4986">
            <w:pPr>
              <w:rPr>
                <w:color w:val="000000"/>
              </w:rPr>
            </w:pPr>
            <w:r>
              <w:rPr>
                <w:rFonts w:hint="eastAsia" w:ascii="宋体" w:hAnsi="宋体" w:eastAsia="宋体" w:cs="宋体"/>
                <w:color w:val="000000"/>
              </w:rPr>
              <w:t xml:space="preserve"> 公路/铁路密度等 </w:t>
            </w:r>
          </w:p>
        </w:tc>
        <w:tc>
          <w:tcPr>
            <w:tcW w:w="1705" w:type="dxa"/>
            <w:tcBorders>
              <w:top w:val="nil"/>
              <w:left w:val="nil"/>
              <w:bottom w:val="nil"/>
              <w:right w:val="nil"/>
            </w:tcBorders>
            <w:shd w:val="clear" w:color="auto" w:fill="FFFFFF"/>
          </w:tcPr>
          <w:p w14:paraId="2DD64801">
            <w:pPr>
              <w:rPr>
                <w:color w:val="000000"/>
              </w:rPr>
            </w:pPr>
            <w:r>
              <w:rPr>
                <w:rFonts w:hint="eastAsia" w:ascii="宋体" w:hAnsi="宋体" w:eastAsia="宋体" w:cs="宋体"/>
                <w:color w:val="000000"/>
              </w:rPr>
              <w:t xml:space="preserve"> 正相关 </w:t>
            </w:r>
          </w:p>
        </w:tc>
      </w:tr>
      <w:tr w14:paraId="73F60D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4EE01579">
            <w:pPr>
              <w:rPr>
                <w:color w:val="000000"/>
              </w:rPr>
            </w:pPr>
            <w:r>
              <w:rPr>
                <w:rFonts w:hint="eastAsia" w:ascii="宋体" w:hAnsi="宋体" w:eastAsia="宋体" w:cs="宋体"/>
                <w:color w:val="000000"/>
              </w:rPr>
              <w:t xml:space="preserve"> 交通基础设施水平2 </w:t>
            </w:r>
          </w:p>
        </w:tc>
        <w:tc>
          <w:tcPr>
            <w:tcW w:w="1704" w:type="dxa"/>
            <w:tcBorders>
              <w:top w:val="nil"/>
              <w:left w:val="nil"/>
              <w:bottom w:val="nil"/>
              <w:right w:val="nil"/>
            </w:tcBorders>
            <w:shd w:val="clear" w:color="auto" w:fill="FFFFFF"/>
          </w:tcPr>
          <w:p w14:paraId="5EDD8D4B">
            <w:pPr>
              <w:rPr>
                <w:color w:val="000000"/>
              </w:rPr>
            </w:pPr>
            <w:r>
              <w:rPr>
                <w:rFonts w:hint="eastAsia" w:ascii="宋体" w:hAnsi="宋体" w:eastAsia="宋体" w:cs="宋体"/>
                <w:color w:val="000000"/>
              </w:rPr>
              <w:t xml:space="preserve"> 交通基础设施的另一个维度 </w:t>
            </w:r>
          </w:p>
        </w:tc>
        <w:tc>
          <w:tcPr>
            <w:tcW w:w="1705" w:type="dxa"/>
            <w:tcBorders>
              <w:top w:val="nil"/>
              <w:left w:val="nil"/>
              <w:bottom w:val="nil"/>
              <w:right w:val="nil"/>
            </w:tcBorders>
            <w:shd w:val="clear" w:color="auto" w:fill="FFFFFF"/>
          </w:tcPr>
          <w:p w14:paraId="493355EE">
            <w:pPr>
              <w:rPr>
                <w:color w:val="000000"/>
              </w:rPr>
            </w:pPr>
            <w:r>
              <w:rPr>
                <w:rFonts w:hint="eastAsia" w:ascii="宋体" w:hAnsi="宋体" w:eastAsia="宋体" w:cs="宋体"/>
                <w:color w:val="000000"/>
              </w:rPr>
              <w:t xml:space="preserve"> 正相关 </w:t>
            </w:r>
          </w:p>
        </w:tc>
      </w:tr>
      <w:tr w14:paraId="114E1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nil"/>
              <w:right w:val="nil"/>
            </w:tcBorders>
            <w:shd w:val="clear" w:color="auto" w:fill="FFFFFF"/>
          </w:tcPr>
          <w:p w14:paraId="1C30BEA6">
            <w:pPr>
              <w:rPr>
                <w:color w:val="000000"/>
              </w:rPr>
            </w:pPr>
            <w:r>
              <w:rPr>
                <w:rFonts w:hint="eastAsia" w:ascii="宋体" w:hAnsi="宋体" w:eastAsia="宋体" w:cs="宋体"/>
                <w:color w:val="000000"/>
              </w:rPr>
              <w:t xml:space="preserve"> 对外开放程度 </w:t>
            </w:r>
          </w:p>
        </w:tc>
        <w:tc>
          <w:tcPr>
            <w:tcW w:w="1704" w:type="dxa"/>
            <w:tcBorders>
              <w:top w:val="nil"/>
              <w:left w:val="nil"/>
              <w:bottom w:val="nil"/>
              <w:right w:val="nil"/>
            </w:tcBorders>
            <w:shd w:val="clear" w:color="auto" w:fill="FFFFFF"/>
          </w:tcPr>
          <w:p w14:paraId="75E208FA">
            <w:pPr>
              <w:rPr>
                <w:color w:val="000000"/>
              </w:rPr>
            </w:pPr>
            <w:r>
              <w:rPr>
                <w:rFonts w:hint="eastAsia" w:ascii="宋体" w:hAnsi="宋体" w:eastAsia="宋体" w:cs="宋体"/>
                <w:color w:val="000000"/>
              </w:rPr>
              <w:t xml:space="preserve"> 进出口总额占GDP比重 </w:t>
            </w:r>
          </w:p>
        </w:tc>
        <w:tc>
          <w:tcPr>
            <w:tcW w:w="1705" w:type="dxa"/>
            <w:tcBorders>
              <w:top w:val="nil"/>
              <w:left w:val="nil"/>
              <w:bottom w:val="nil"/>
              <w:right w:val="nil"/>
            </w:tcBorders>
            <w:shd w:val="clear" w:color="auto" w:fill="FFFFFF"/>
          </w:tcPr>
          <w:p w14:paraId="57E1D37E">
            <w:pPr>
              <w:rPr>
                <w:color w:val="000000"/>
              </w:rPr>
            </w:pPr>
            <w:r>
              <w:rPr>
                <w:rFonts w:hint="eastAsia" w:ascii="宋体" w:hAnsi="宋体" w:eastAsia="宋体" w:cs="宋体"/>
                <w:color w:val="000000"/>
              </w:rPr>
              <w:t xml:space="preserve"> 正相关 </w:t>
            </w:r>
          </w:p>
        </w:tc>
      </w:tr>
      <w:tr w14:paraId="20B4DC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nil"/>
              <w:left w:val="nil"/>
              <w:bottom w:val="single" w:color="000000" w:sz="12" w:space="0"/>
              <w:right w:val="nil"/>
            </w:tcBorders>
            <w:shd w:val="clear" w:color="auto" w:fill="FFFFFF"/>
          </w:tcPr>
          <w:p w14:paraId="73C59E0A">
            <w:pPr>
              <w:rPr>
                <w:color w:val="000000"/>
              </w:rPr>
            </w:pPr>
            <w:r>
              <w:rPr>
                <w:rFonts w:hint="eastAsia" w:ascii="宋体" w:hAnsi="宋体" w:eastAsia="宋体" w:cs="宋体"/>
                <w:color w:val="000000"/>
              </w:rPr>
              <w:t xml:space="preserve"> 信息化水平 </w:t>
            </w:r>
          </w:p>
        </w:tc>
        <w:tc>
          <w:tcPr>
            <w:tcW w:w="1704" w:type="dxa"/>
            <w:tcBorders>
              <w:top w:val="nil"/>
              <w:left w:val="nil"/>
              <w:bottom w:val="single" w:color="000000" w:sz="12" w:space="0"/>
              <w:right w:val="nil"/>
            </w:tcBorders>
            <w:shd w:val="clear" w:color="auto" w:fill="FFFFFF"/>
          </w:tcPr>
          <w:p w14:paraId="71E86800">
            <w:pPr>
              <w:rPr>
                <w:color w:val="000000"/>
              </w:rPr>
            </w:pPr>
            <w:r>
              <w:rPr>
                <w:rFonts w:hint="eastAsia" w:ascii="宋体" w:hAnsi="宋体" w:eastAsia="宋体" w:cs="宋体"/>
                <w:color w:val="000000"/>
              </w:rPr>
              <w:t xml:space="preserve"> 互联网普及率等 </w:t>
            </w:r>
          </w:p>
        </w:tc>
        <w:tc>
          <w:tcPr>
            <w:tcW w:w="1705" w:type="dxa"/>
            <w:tcBorders>
              <w:top w:val="nil"/>
              <w:left w:val="nil"/>
              <w:bottom w:val="single" w:color="000000" w:sz="12" w:space="0"/>
              <w:right w:val="nil"/>
            </w:tcBorders>
            <w:shd w:val="clear" w:color="auto" w:fill="FFFFFF"/>
          </w:tcPr>
          <w:p w14:paraId="1027900C">
            <w:pPr>
              <w:rPr>
                <w:color w:val="000000"/>
              </w:rPr>
            </w:pPr>
            <w:r>
              <w:rPr>
                <w:rFonts w:hint="eastAsia" w:ascii="宋体" w:hAnsi="宋体" w:eastAsia="宋体" w:cs="宋体"/>
                <w:color w:val="000000"/>
              </w:rPr>
              <w:t xml:space="preserve"> 正相关 </w:t>
            </w:r>
          </w:p>
        </w:tc>
      </w:tr>
    </w:tbl>
    <w:p w14:paraId="1E8092EA">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2.4 初步统计描述</w:t>
      </w:r>
    </w:p>
    <w:p w14:paraId="76BDF3B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52DFB9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对主要变量的描述性统计如下：</w:t>
      </w:r>
    </w:p>
    <w:p w14:paraId="54E5686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tbl>
      <w:tblPr>
        <w:tblStyle w:val="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5"/>
        <w:gridCol w:w="1065"/>
        <w:gridCol w:w="1065"/>
        <w:gridCol w:w="1065"/>
        <w:gridCol w:w="1065"/>
        <w:gridCol w:w="1066"/>
      </w:tblGrid>
      <w:tr w14:paraId="0604FF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top w:val="single" w:color="auto" w:sz="12" w:space="0"/>
              <w:left w:val="nil"/>
              <w:bottom w:val="single" w:color="auto" w:sz="6" w:space="0"/>
              <w:right w:val="nil"/>
              <w:insideH w:val="single" w:sz="6" w:space="0"/>
              <w:insideV w:val="nil"/>
              <w:tl2br w:val="nil"/>
              <w:tr2bl w:val="nil"/>
            </w:tcBorders>
          </w:tcPr>
          <w:p w14:paraId="0D4C21C5">
            <w:pPr>
              <w:rPr>
                <w:rFonts w:ascii="宋体" w:hAnsi="宋体" w:eastAsia="宋体" w:cs="宋体"/>
                <w:color w:val="000000"/>
              </w:rPr>
            </w:pPr>
            <w:r>
              <w:rPr>
                <w:rFonts w:hint="eastAsia" w:ascii="宋体" w:hAnsi="宋体" w:eastAsia="宋体" w:cs="宋体"/>
                <w:color w:val="000000"/>
              </w:rPr>
              <w:t xml:space="preserve"> 变量 </w:t>
            </w:r>
          </w:p>
        </w:tc>
        <w:tc>
          <w:tcPr>
            <w:tcW w:w="1065" w:type="dxa"/>
            <w:tcBorders>
              <w:top w:val="single" w:color="auto" w:sz="12" w:space="0"/>
              <w:bottom w:val="single" w:color="auto" w:sz="6" w:space="0"/>
              <w:right w:val="nil"/>
              <w:insideH w:val="single" w:sz="6" w:space="0"/>
              <w:insideV w:val="nil"/>
              <w:tl2br w:val="nil"/>
              <w:tr2bl w:val="nil"/>
            </w:tcBorders>
          </w:tcPr>
          <w:p w14:paraId="6136AA47">
            <w:pPr>
              <w:rPr>
                <w:rFonts w:ascii="宋体" w:hAnsi="宋体" w:eastAsia="宋体" w:cs="宋体"/>
                <w:color w:val="000000"/>
              </w:rPr>
            </w:pPr>
            <w:r>
              <w:rPr>
                <w:rFonts w:hint="eastAsia" w:ascii="宋体" w:hAnsi="宋体" w:eastAsia="宋体" w:cs="宋体"/>
                <w:color w:val="000000"/>
              </w:rPr>
              <w:t xml:space="preserve"> 样本量 </w:t>
            </w:r>
          </w:p>
        </w:tc>
        <w:tc>
          <w:tcPr>
            <w:tcW w:w="1065" w:type="dxa"/>
            <w:tcBorders>
              <w:top w:val="single" w:color="auto" w:sz="12" w:space="0"/>
              <w:bottom w:val="single" w:color="auto" w:sz="6" w:space="0"/>
              <w:right w:val="nil"/>
              <w:insideH w:val="single" w:sz="6" w:space="0"/>
              <w:insideV w:val="nil"/>
              <w:tl2br w:val="nil"/>
              <w:tr2bl w:val="nil"/>
            </w:tcBorders>
          </w:tcPr>
          <w:p w14:paraId="2DA022B3">
            <w:pPr>
              <w:rPr>
                <w:rFonts w:ascii="宋体" w:hAnsi="宋体" w:eastAsia="宋体" w:cs="宋体"/>
                <w:color w:val="000000"/>
              </w:rPr>
            </w:pPr>
            <w:r>
              <w:rPr>
                <w:rFonts w:hint="eastAsia" w:ascii="宋体" w:hAnsi="宋体" w:eastAsia="宋体" w:cs="宋体"/>
                <w:color w:val="000000"/>
              </w:rPr>
              <w:t xml:space="preserve"> 均值 </w:t>
            </w:r>
          </w:p>
        </w:tc>
        <w:tc>
          <w:tcPr>
            <w:tcW w:w="1065" w:type="dxa"/>
            <w:tcBorders>
              <w:top w:val="single" w:color="auto" w:sz="12" w:space="0"/>
              <w:bottom w:val="single" w:color="auto" w:sz="6" w:space="0"/>
              <w:right w:val="nil"/>
              <w:insideH w:val="single" w:sz="6" w:space="0"/>
              <w:insideV w:val="nil"/>
              <w:tl2br w:val="nil"/>
              <w:tr2bl w:val="nil"/>
            </w:tcBorders>
          </w:tcPr>
          <w:p w14:paraId="508EEBF0">
            <w:pPr>
              <w:rPr>
                <w:rFonts w:ascii="宋体" w:hAnsi="宋体" w:eastAsia="宋体" w:cs="宋体"/>
                <w:color w:val="000000"/>
              </w:rPr>
            </w:pPr>
            <w:r>
              <w:rPr>
                <w:rFonts w:hint="eastAsia" w:ascii="宋体" w:hAnsi="宋体" w:eastAsia="宋体" w:cs="宋体"/>
                <w:color w:val="000000"/>
              </w:rPr>
              <w:t xml:space="preserve"> 标准差 </w:t>
            </w:r>
          </w:p>
        </w:tc>
        <w:tc>
          <w:tcPr>
            <w:tcW w:w="1065" w:type="dxa"/>
            <w:tcBorders>
              <w:top w:val="single" w:color="auto" w:sz="12" w:space="0"/>
              <w:bottom w:val="single" w:color="auto" w:sz="6" w:space="0"/>
              <w:right w:val="nil"/>
              <w:insideH w:val="single" w:sz="6" w:space="0"/>
              <w:insideV w:val="nil"/>
              <w:tl2br w:val="nil"/>
              <w:tr2bl w:val="nil"/>
            </w:tcBorders>
          </w:tcPr>
          <w:p w14:paraId="0F763670">
            <w:pPr>
              <w:rPr>
                <w:rFonts w:ascii="宋体" w:hAnsi="宋体" w:eastAsia="宋体" w:cs="宋体"/>
                <w:color w:val="000000"/>
              </w:rPr>
            </w:pPr>
            <w:r>
              <w:rPr>
                <w:rFonts w:hint="eastAsia" w:ascii="宋体" w:hAnsi="宋体" w:eastAsia="宋体" w:cs="宋体"/>
                <w:color w:val="000000"/>
              </w:rPr>
              <w:t xml:space="preserve"> 最小值 </w:t>
            </w:r>
          </w:p>
        </w:tc>
        <w:tc>
          <w:tcPr>
            <w:tcW w:w="1066" w:type="dxa"/>
            <w:tcBorders>
              <w:top w:val="single" w:color="auto" w:sz="12" w:space="0"/>
              <w:bottom w:val="single" w:color="auto" w:sz="6" w:space="0"/>
              <w:right w:val="nil"/>
              <w:insideH w:val="single" w:sz="6" w:space="0"/>
              <w:insideV w:val="nil"/>
              <w:tl2br w:val="nil"/>
              <w:tr2bl w:val="nil"/>
            </w:tcBorders>
          </w:tcPr>
          <w:p w14:paraId="242D1F4F">
            <w:pPr>
              <w:rPr>
                <w:rFonts w:ascii="宋体" w:hAnsi="宋体" w:eastAsia="宋体" w:cs="宋体"/>
                <w:color w:val="000000"/>
              </w:rPr>
            </w:pPr>
            <w:r>
              <w:rPr>
                <w:rFonts w:hint="eastAsia" w:ascii="宋体" w:hAnsi="宋体" w:eastAsia="宋体" w:cs="宋体"/>
                <w:color w:val="000000"/>
              </w:rPr>
              <w:t xml:space="preserve"> 最大值 </w:t>
            </w:r>
          </w:p>
        </w:tc>
      </w:tr>
      <w:tr w14:paraId="16939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1B874D64">
            <w:pPr>
              <w:rPr>
                <w:rFonts w:ascii="宋体" w:hAnsi="宋体" w:eastAsia="宋体" w:cs="宋体"/>
                <w:color w:val="000000"/>
              </w:rPr>
            </w:pPr>
            <w:r>
              <w:rPr>
                <w:rFonts w:hint="eastAsia" w:ascii="宋体" w:hAnsi="宋体" w:eastAsia="宋体" w:cs="宋体"/>
                <w:color w:val="000000"/>
              </w:rPr>
              <w:t xml:space="preserve"> 税负水平 </w:t>
            </w:r>
          </w:p>
        </w:tc>
        <w:tc>
          <w:tcPr>
            <w:tcW w:w="1065" w:type="dxa"/>
          </w:tcPr>
          <w:p w14:paraId="055E8E1F">
            <w:pPr>
              <w:rPr>
                <w:rFonts w:ascii="宋体" w:hAnsi="宋体" w:eastAsia="宋体" w:cs="宋体"/>
                <w:color w:val="000000"/>
              </w:rPr>
            </w:pPr>
            <w:r>
              <w:rPr>
                <w:rFonts w:hint="eastAsia" w:ascii="宋体" w:hAnsi="宋体" w:eastAsia="宋体" w:cs="宋体"/>
                <w:color w:val="000000"/>
              </w:rPr>
              <w:t xml:space="preserve"> 775 </w:t>
            </w:r>
          </w:p>
        </w:tc>
        <w:tc>
          <w:tcPr>
            <w:tcW w:w="1065" w:type="dxa"/>
          </w:tcPr>
          <w:p w14:paraId="20CCC5C6">
            <w:pPr>
              <w:rPr>
                <w:rFonts w:ascii="宋体" w:hAnsi="宋体" w:eastAsia="宋体" w:cs="宋体"/>
                <w:color w:val="000000"/>
              </w:rPr>
            </w:pPr>
            <w:r>
              <w:rPr>
                <w:rFonts w:hint="eastAsia" w:ascii="宋体" w:hAnsi="宋体" w:eastAsia="宋体" w:cs="宋体"/>
                <w:color w:val="000000"/>
              </w:rPr>
              <w:t xml:space="preserve"> 0.0796 </w:t>
            </w:r>
          </w:p>
        </w:tc>
        <w:tc>
          <w:tcPr>
            <w:tcW w:w="1065" w:type="dxa"/>
          </w:tcPr>
          <w:p w14:paraId="70475AA8">
            <w:pPr>
              <w:rPr>
                <w:rFonts w:ascii="宋体" w:hAnsi="宋体" w:eastAsia="宋体" w:cs="宋体"/>
                <w:color w:val="000000"/>
              </w:rPr>
            </w:pPr>
            <w:r>
              <w:rPr>
                <w:rFonts w:hint="eastAsia" w:ascii="宋体" w:hAnsi="宋体" w:eastAsia="宋体" w:cs="宋体"/>
                <w:color w:val="000000"/>
              </w:rPr>
              <w:t xml:space="preserve"> 0.0308 </w:t>
            </w:r>
          </w:p>
        </w:tc>
        <w:tc>
          <w:tcPr>
            <w:tcW w:w="1065" w:type="dxa"/>
          </w:tcPr>
          <w:p w14:paraId="0471D7DC">
            <w:pPr>
              <w:rPr>
                <w:rFonts w:ascii="宋体" w:hAnsi="宋体" w:eastAsia="宋体" w:cs="宋体"/>
                <w:color w:val="000000"/>
              </w:rPr>
            </w:pPr>
            <w:r>
              <w:rPr>
                <w:rFonts w:hint="eastAsia" w:ascii="宋体" w:hAnsi="宋体" w:eastAsia="宋体" w:cs="宋体"/>
                <w:color w:val="000000"/>
              </w:rPr>
              <w:t xml:space="preserve"> 0.0327 </w:t>
            </w:r>
          </w:p>
        </w:tc>
        <w:tc>
          <w:tcPr>
            <w:tcW w:w="1066" w:type="dxa"/>
            <w:tcBorders>
              <w:right w:val="nil"/>
            </w:tcBorders>
          </w:tcPr>
          <w:p w14:paraId="3A92BD41">
            <w:pPr>
              <w:rPr>
                <w:rFonts w:ascii="宋体" w:hAnsi="宋体" w:eastAsia="宋体" w:cs="宋体"/>
                <w:color w:val="000000"/>
              </w:rPr>
            </w:pPr>
            <w:r>
              <w:rPr>
                <w:rFonts w:hint="eastAsia" w:ascii="宋体" w:hAnsi="宋体" w:eastAsia="宋体" w:cs="宋体"/>
                <w:color w:val="000000"/>
              </w:rPr>
              <w:t xml:space="preserve"> 0.1817 </w:t>
            </w:r>
          </w:p>
        </w:tc>
      </w:tr>
      <w:tr w14:paraId="5134F1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628D5007">
            <w:pPr>
              <w:rPr>
                <w:rFonts w:ascii="宋体" w:hAnsi="宋体" w:eastAsia="宋体" w:cs="宋体"/>
                <w:color w:val="000000"/>
              </w:rPr>
            </w:pPr>
            <w:r>
              <w:rPr>
                <w:rFonts w:hint="eastAsia" w:ascii="宋体" w:hAnsi="宋体" w:eastAsia="宋体" w:cs="宋体"/>
                <w:color w:val="000000"/>
              </w:rPr>
              <w:t xml:space="preserve"> 经济发展水平 </w:t>
            </w:r>
          </w:p>
        </w:tc>
        <w:tc>
          <w:tcPr>
            <w:tcW w:w="1065" w:type="dxa"/>
          </w:tcPr>
          <w:p w14:paraId="455E0491">
            <w:pPr>
              <w:rPr>
                <w:rFonts w:ascii="宋体" w:hAnsi="宋体" w:eastAsia="宋体" w:cs="宋体"/>
                <w:color w:val="000000"/>
              </w:rPr>
            </w:pPr>
            <w:r>
              <w:rPr>
                <w:rFonts w:hint="eastAsia" w:ascii="宋体" w:hAnsi="宋体" w:eastAsia="宋体" w:cs="宋体"/>
                <w:color w:val="000000"/>
              </w:rPr>
              <w:t xml:space="preserve"> 775 </w:t>
            </w:r>
          </w:p>
        </w:tc>
        <w:tc>
          <w:tcPr>
            <w:tcW w:w="1065" w:type="dxa"/>
          </w:tcPr>
          <w:p w14:paraId="4D8CF44B">
            <w:pPr>
              <w:rPr>
                <w:rFonts w:ascii="宋体" w:hAnsi="宋体" w:eastAsia="宋体" w:cs="宋体"/>
                <w:color w:val="000000"/>
              </w:rPr>
            </w:pPr>
            <w:r>
              <w:rPr>
                <w:rFonts w:hint="eastAsia" w:ascii="宋体" w:hAnsi="宋体" w:eastAsia="宋体" w:cs="宋体"/>
                <w:color w:val="000000"/>
              </w:rPr>
              <w:t xml:space="preserve"> 10.491 </w:t>
            </w:r>
          </w:p>
        </w:tc>
        <w:tc>
          <w:tcPr>
            <w:tcW w:w="1065" w:type="dxa"/>
          </w:tcPr>
          <w:p w14:paraId="454D26CB">
            <w:pPr>
              <w:rPr>
                <w:rFonts w:ascii="宋体" w:hAnsi="宋体" w:eastAsia="宋体" w:cs="宋体"/>
                <w:color w:val="000000"/>
              </w:rPr>
            </w:pPr>
            <w:r>
              <w:rPr>
                <w:rFonts w:hint="eastAsia" w:ascii="宋体" w:hAnsi="宋体" w:eastAsia="宋体" w:cs="宋体"/>
                <w:color w:val="000000"/>
              </w:rPr>
              <w:t xml:space="preserve"> 0.884 </w:t>
            </w:r>
          </w:p>
        </w:tc>
        <w:tc>
          <w:tcPr>
            <w:tcW w:w="1065" w:type="dxa"/>
          </w:tcPr>
          <w:p w14:paraId="09124B38">
            <w:pPr>
              <w:rPr>
                <w:rFonts w:ascii="宋体" w:hAnsi="宋体" w:eastAsia="宋体" w:cs="宋体"/>
                <w:color w:val="000000"/>
              </w:rPr>
            </w:pPr>
            <w:r>
              <w:rPr>
                <w:rFonts w:hint="eastAsia" w:ascii="宋体" w:hAnsi="宋体" w:eastAsia="宋体" w:cs="宋体"/>
                <w:color w:val="000000"/>
              </w:rPr>
              <w:t xml:space="preserve"> 7.927 </w:t>
            </w:r>
          </w:p>
        </w:tc>
        <w:tc>
          <w:tcPr>
            <w:tcW w:w="1066" w:type="dxa"/>
            <w:tcBorders>
              <w:right w:val="nil"/>
            </w:tcBorders>
          </w:tcPr>
          <w:p w14:paraId="0108DDC7">
            <w:pPr>
              <w:rPr>
                <w:rFonts w:ascii="宋体" w:hAnsi="宋体" w:eastAsia="宋体" w:cs="宋体"/>
                <w:color w:val="000000"/>
              </w:rPr>
            </w:pPr>
            <w:r>
              <w:rPr>
                <w:rFonts w:hint="eastAsia" w:ascii="宋体" w:hAnsi="宋体" w:eastAsia="宋体" w:cs="宋体"/>
                <w:color w:val="000000"/>
              </w:rPr>
              <w:t xml:space="preserve"> 12.340 </w:t>
            </w:r>
          </w:p>
        </w:tc>
      </w:tr>
      <w:tr w14:paraId="21BC4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7717A1E2">
            <w:pPr>
              <w:rPr>
                <w:rFonts w:ascii="宋体" w:hAnsi="宋体" w:eastAsia="宋体" w:cs="宋体"/>
                <w:color w:val="000000"/>
              </w:rPr>
            </w:pPr>
            <w:r>
              <w:rPr>
                <w:rFonts w:hint="eastAsia" w:ascii="宋体" w:hAnsi="宋体" w:eastAsia="宋体" w:cs="宋体"/>
                <w:color w:val="000000"/>
              </w:rPr>
              <w:t xml:space="preserve"> 财政支持力度 </w:t>
            </w:r>
          </w:p>
        </w:tc>
        <w:tc>
          <w:tcPr>
            <w:tcW w:w="1065" w:type="dxa"/>
          </w:tcPr>
          <w:p w14:paraId="5B03E359">
            <w:pPr>
              <w:rPr>
                <w:rFonts w:ascii="宋体" w:hAnsi="宋体" w:eastAsia="宋体" w:cs="宋体"/>
                <w:color w:val="000000"/>
              </w:rPr>
            </w:pPr>
            <w:r>
              <w:rPr>
                <w:rFonts w:hint="eastAsia" w:ascii="宋体" w:hAnsi="宋体" w:eastAsia="宋体" w:cs="宋体"/>
                <w:color w:val="000000"/>
              </w:rPr>
              <w:t xml:space="preserve"> 775 </w:t>
            </w:r>
          </w:p>
        </w:tc>
        <w:tc>
          <w:tcPr>
            <w:tcW w:w="1065" w:type="dxa"/>
          </w:tcPr>
          <w:p w14:paraId="4ABD0DB8">
            <w:pPr>
              <w:rPr>
                <w:rFonts w:ascii="宋体" w:hAnsi="宋体" w:eastAsia="宋体" w:cs="宋体"/>
                <w:color w:val="000000"/>
              </w:rPr>
            </w:pPr>
            <w:r>
              <w:rPr>
                <w:rFonts w:hint="eastAsia" w:ascii="宋体" w:hAnsi="宋体" w:eastAsia="宋体" w:cs="宋体"/>
                <w:color w:val="000000"/>
              </w:rPr>
              <w:t xml:space="preserve"> 0.2155 </w:t>
            </w:r>
          </w:p>
        </w:tc>
        <w:tc>
          <w:tcPr>
            <w:tcW w:w="1065" w:type="dxa"/>
          </w:tcPr>
          <w:p w14:paraId="24227A19">
            <w:pPr>
              <w:rPr>
                <w:rFonts w:ascii="宋体" w:hAnsi="宋体" w:eastAsia="宋体" w:cs="宋体"/>
                <w:color w:val="000000"/>
              </w:rPr>
            </w:pPr>
            <w:r>
              <w:rPr>
                <w:rFonts w:hint="eastAsia" w:ascii="宋体" w:hAnsi="宋体" w:eastAsia="宋体" w:cs="宋体"/>
                <w:color w:val="000000"/>
              </w:rPr>
              <w:t xml:space="preserve"> 0.1238 </w:t>
            </w:r>
          </w:p>
        </w:tc>
        <w:tc>
          <w:tcPr>
            <w:tcW w:w="1065" w:type="dxa"/>
          </w:tcPr>
          <w:p w14:paraId="054916F5">
            <w:pPr>
              <w:rPr>
                <w:rFonts w:ascii="宋体" w:hAnsi="宋体" w:eastAsia="宋体" w:cs="宋体"/>
                <w:color w:val="000000"/>
              </w:rPr>
            </w:pPr>
            <w:r>
              <w:rPr>
                <w:rFonts w:hint="eastAsia" w:ascii="宋体" w:hAnsi="宋体" w:eastAsia="宋体" w:cs="宋体"/>
                <w:color w:val="000000"/>
              </w:rPr>
              <w:t xml:space="preserve"> 0.0657 </w:t>
            </w:r>
          </w:p>
        </w:tc>
        <w:tc>
          <w:tcPr>
            <w:tcW w:w="1066" w:type="dxa"/>
            <w:tcBorders>
              <w:right w:val="nil"/>
            </w:tcBorders>
          </w:tcPr>
          <w:p w14:paraId="124581D2">
            <w:pPr>
              <w:rPr>
                <w:rFonts w:ascii="宋体" w:hAnsi="宋体" w:eastAsia="宋体" w:cs="宋体"/>
                <w:color w:val="000000"/>
              </w:rPr>
            </w:pPr>
            <w:r>
              <w:rPr>
                <w:rFonts w:hint="eastAsia" w:ascii="宋体" w:hAnsi="宋体" w:eastAsia="宋体" w:cs="宋体"/>
                <w:color w:val="000000"/>
              </w:rPr>
              <w:t xml:space="preserve"> 1.2595 </w:t>
            </w:r>
          </w:p>
        </w:tc>
      </w:tr>
      <w:tr w14:paraId="57C90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27E61975">
            <w:pPr>
              <w:rPr>
                <w:rFonts w:ascii="宋体" w:hAnsi="宋体" w:eastAsia="宋体" w:cs="宋体"/>
                <w:color w:val="000000"/>
              </w:rPr>
            </w:pPr>
            <w:r>
              <w:rPr>
                <w:rFonts w:hint="eastAsia" w:ascii="宋体" w:hAnsi="宋体" w:eastAsia="宋体" w:cs="宋体"/>
                <w:color w:val="000000"/>
              </w:rPr>
              <w:t xml:space="preserve"> 城镇化率 </w:t>
            </w:r>
          </w:p>
        </w:tc>
        <w:tc>
          <w:tcPr>
            <w:tcW w:w="1065" w:type="dxa"/>
          </w:tcPr>
          <w:p w14:paraId="5B8F1ADE">
            <w:pPr>
              <w:rPr>
                <w:rFonts w:ascii="宋体" w:hAnsi="宋体" w:eastAsia="宋体" w:cs="宋体"/>
                <w:color w:val="000000"/>
              </w:rPr>
            </w:pPr>
            <w:r>
              <w:rPr>
                <w:rFonts w:hint="eastAsia" w:ascii="宋体" w:hAnsi="宋体" w:eastAsia="宋体" w:cs="宋体"/>
                <w:color w:val="000000"/>
              </w:rPr>
              <w:t xml:space="preserve"> 775 </w:t>
            </w:r>
          </w:p>
        </w:tc>
        <w:tc>
          <w:tcPr>
            <w:tcW w:w="1065" w:type="dxa"/>
          </w:tcPr>
          <w:p w14:paraId="6CEA019D">
            <w:pPr>
              <w:rPr>
                <w:rFonts w:ascii="宋体" w:hAnsi="宋体" w:eastAsia="宋体" w:cs="宋体"/>
                <w:color w:val="000000"/>
              </w:rPr>
            </w:pPr>
            <w:r>
              <w:rPr>
                <w:rFonts w:hint="eastAsia" w:ascii="宋体" w:hAnsi="宋体" w:eastAsia="宋体" w:cs="宋体"/>
                <w:color w:val="000000"/>
              </w:rPr>
              <w:t xml:space="preserve"> 0.545 </w:t>
            </w:r>
          </w:p>
        </w:tc>
        <w:tc>
          <w:tcPr>
            <w:tcW w:w="1065" w:type="dxa"/>
          </w:tcPr>
          <w:p w14:paraId="3E713732">
            <w:pPr>
              <w:rPr>
                <w:rFonts w:ascii="宋体" w:hAnsi="宋体" w:eastAsia="宋体" w:cs="宋体"/>
                <w:color w:val="000000"/>
              </w:rPr>
            </w:pPr>
            <w:r>
              <w:rPr>
                <w:rFonts w:hint="eastAsia" w:ascii="宋体" w:hAnsi="宋体" w:eastAsia="宋体" w:cs="宋体"/>
                <w:color w:val="000000"/>
              </w:rPr>
              <w:t xml:space="preserve"> 0.176 </w:t>
            </w:r>
          </w:p>
        </w:tc>
        <w:tc>
          <w:tcPr>
            <w:tcW w:w="1065" w:type="dxa"/>
          </w:tcPr>
          <w:p w14:paraId="28D9C6AB">
            <w:pPr>
              <w:rPr>
                <w:rFonts w:ascii="宋体" w:hAnsi="宋体" w:eastAsia="宋体" w:cs="宋体"/>
                <w:color w:val="000000"/>
              </w:rPr>
            </w:pPr>
            <w:r>
              <w:rPr>
                <w:rFonts w:hint="eastAsia" w:ascii="宋体" w:hAnsi="宋体" w:eastAsia="宋体" w:cs="宋体"/>
                <w:color w:val="000000"/>
              </w:rPr>
              <w:t xml:space="preserve"> 0.194 </w:t>
            </w:r>
          </w:p>
        </w:tc>
        <w:tc>
          <w:tcPr>
            <w:tcW w:w="1066" w:type="dxa"/>
            <w:tcBorders>
              <w:right w:val="nil"/>
            </w:tcBorders>
          </w:tcPr>
          <w:p w14:paraId="1C526829">
            <w:pPr>
              <w:rPr>
                <w:rFonts w:ascii="宋体" w:hAnsi="宋体" w:eastAsia="宋体" w:cs="宋体"/>
                <w:color w:val="000000"/>
              </w:rPr>
            </w:pPr>
            <w:r>
              <w:rPr>
                <w:rFonts w:hint="eastAsia" w:ascii="宋体" w:hAnsi="宋体" w:eastAsia="宋体" w:cs="宋体"/>
                <w:color w:val="000000"/>
              </w:rPr>
              <w:t xml:space="preserve"> 0.898 </w:t>
            </w:r>
          </w:p>
        </w:tc>
      </w:tr>
      <w:tr w14:paraId="6D73A2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5335AAF7">
            <w:pPr>
              <w:rPr>
                <w:rFonts w:ascii="宋体" w:hAnsi="宋体" w:eastAsia="宋体" w:cs="宋体"/>
                <w:color w:val="000000"/>
              </w:rPr>
            </w:pPr>
            <w:r>
              <w:rPr>
                <w:rFonts w:hint="eastAsia" w:ascii="宋体" w:hAnsi="宋体" w:eastAsia="宋体" w:cs="宋体"/>
                <w:color w:val="000000"/>
              </w:rPr>
              <w:t xml:space="preserve"> 产业结构三产GDP </w:t>
            </w:r>
          </w:p>
        </w:tc>
        <w:tc>
          <w:tcPr>
            <w:tcW w:w="1065" w:type="dxa"/>
          </w:tcPr>
          <w:p w14:paraId="7D48B079">
            <w:pPr>
              <w:rPr>
                <w:rFonts w:ascii="宋体" w:hAnsi="宋体" w:eastAsia="宋体" w:cs="宋体"/>
                <w:color w:val="000000"/>
              </w:rPr>
            </w:pPr>
            <w:r>
              <w:rPr>
                <w:rFonts w:hint="eastAsia" w:ascii="宋体" w:hAnsi="宋体" w:eastAsia="宋体" w:cs="宋体"/>
                <w:color w:val="000000"/>
              </w:rPr>
              <w:t xml:space="preserve"> 775 </w:t>
            </w:r>
          </w:p>
        </w:tc>
        <w:tc>
          <w:tcPr>
            <w:tcW w:w="1065" w:type="dxa"/>
          </w:tcPr>
          <w:p w14:paraId="5418AA71">
            <w:pPr>
              <w:rPr>
                <w:rFonts w:ascii="宋体" w:hAnsi="宋体" w:eastAsia="宋体" w:cs="宋体"/>
                <w:color w:val="000000"/>
              </w:rPr>
            </w:pPr>
            <w:r>
              <w:rPr>
                <w:rFonts w:hint="eastAsia" w:ascii="宋体" w:hAnsi="宋体" w:eastAsia="宋体" w:cs="宋体"/>
                <w:color w:val="000000"/>
              </w:rPr>
              <w:t xml:space="preserve"> 0.456 </w:t>
            </w:r>
          </w:p>
        </w:tc>
        <w:tc>
          <w:tcPr>
            <w:tcW w:w="1065" w:type="dxa"/>
          </w:tcPr>
          <w:p w14:paraId="65DEBB61">
            <w:pPr>
              <w:rPr>
                <w:rFonts w:ascii="宋体" w:hAnsi="宋体" w:eastAsia="宋体" w:cs="宋体"/>
                <w:color w:val="000000"/>
              </w:rPr>
            </w:pPr>
            <w:r>
              <w:rPr>
                <w:rFonts w:hint="eastAsia" w:ascii="宋体" w:hAnsi="宋体" w:eastAsia="宋体" w:cs="宋体"/>
                <w:color w:val="000000"/>
              </w:rPr>
              <w:t xml:space="preserve"> 0.126 </w:t>
            </w:r>
          </w:p>
        </w:tc>
        <w:tc>
          <w:tcPr>
            <w:tcW w:w="1065" w:type="dxa"/>
          </w:tcPr>
          <w:p w14:paraId="2ABDD00A">
            <w:pPr>
              <w:rPr>
                <w:rFonts w:ascii="宋体" w:hAnsi="宋体" w:eastAsia="宋体" w:cs="宋体"/>
                <w:color w:val="000000"/>
              </w:rPr>
            </w:pPr>
            <w:r>
              <w:rPr>
                <w:rFonts w:hint="eastAsia" w:ascii="宋体" w:hAnsi="宋体" w:eastAsia="宋体" w:cs="宋体"/>
                <w:color w:val="000000"/>
              </w:rPr>
              <w:t xml:space="preserve"> 0.303 </w:t>
            </w:r>
          </w:p>
        </w:tc>
        <w:tc>
          <w:tcPr>
            <w:tcW w:w="1066" w:type="dxa"/>
            <w:tcBorders>
              <w:right w:val="nil"/>
            </w:tcBorders>
          </w:tcPr>
          <w:p w14:paraId="48DD96D5">
            <w:pPr>
              <w:rPr>
                <w:rFonts w:ascii="宋体" w:hAnsi="宋体" w:eastAsia="宋体" w:cs="宋体"/>
                <w:color w:val="000000"/>
              </w:rPr>
            </w:pPr>
            <w:r>
              <w:rPr>
                <w:rFonts w:hint="eastAsia" w:ascii="宋体" w:hAnsi="宋体" w:eastAsia="宋体" w:cs="宋体"/>
                <w:color w:val="000000"/>
              </w:rPr>
              <w:t xml:space="preserve"> 0.854 </w:t>
            </w:r>
          </w:p>
        </w:tc>
      </w:tr>
      <w:tr w14:paraId="07175B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56D67838">
            <w:pPr>
              <w:rPr>
                <w:rFonts w:ascii="宋体" w:hAnsi="宋体" w:eastAsia="宋体" w:cs="宋体"/>
                <w:color w:val="000000"/>
              </w:rPr>
            </w:pPr>
            <w:r>
              <w:rPr>
                <w:rFonts w:hint="eastAsia" w:ascii="宋体" w:hAnsi="宋体" w:eastAsia="宋体" w:cs="宋体"/>
                <w:color w:val="000000"/>
              </w:rPr>
              <w:t xml:space="preserve"> 产业结构高级化 </w:t>
            </w:r>
          </w:p>
        </w:tc>
        <w:tc>
          <w:tcPr>
            <w:tcW w:w="1065" w:type="dxa"/>
          </w:tcPr>
          <w:p w14:paraId="1BFEE114">
            <w:pPr>
              <w:rPr>
                <w:rFonts w:ascii="宋体" w:hAnsi="宋体" w:eastAsia="宋体" w:cs="宋体"/>
                <w:color w:val="000000"/>
              </w:rPr>
            </w:pPr>
            <w:r>
              <w:rPr>
                <w:rFonts w:hint="eastAsia" w:ascii="宋体" w:hAnsi="宋体" w:eastAsia="宋体" w:cs="宋体"/>
                <w:color w:val="000000"/>
              </w:rPr>
              <w:t xml:space="preserve"> 775 </w:t>
            </w:r>
          </w:p>
        </w:tc>
        <w:tc>
          <w:tcPr>
            <w:tcW w:w="1065" w:type="dxa"/>
            <w:tcBorders>
              <w:bottom w:val="nil"/>
            </w:tcBorders>
          </w:tcPr>
          <w:p w14:paraId="3BD09AE3">
            <w:pPr>
              <w:rPr>
                <w:rFonts w:ascii="宋体" w:hAnsi="宋体" w:eastAsia="宋体" w:cs="宋体"/>
                <w:color w:val="000000"/>
              </w:rPr>
            </w:pPr>
            <w:r>
              <w:rPr>
                <w:rFonts w:hint="eastAsia" w:ascii="宋体" w:hAnsi="宋体" w:eastAsia="宋体" w:cs="宋体"/>
                <w:color w:val="000000"/>
              </w:rPr>
              <w:t xml:space="preserve"> 1.645 </w:t>
            </w:r>
          </w:p>
        </w:tc>
        <w:tc>
          <w:tcPr>
            <w:tcW w:w="1065" w:type="dxa"/>
            <w:tcBorders>
              <w:bottom w:val="nil"/>
            </w:tcBorders>
          </w:tcPr>
          <w:p w14:paraId="7D62A413">
            <w:pPr>
              <w:rPr>
                <w:rFonts w:ascii="宋体" w:hAnsi="宋体" w:eastAsia="宋体" w:cs="宋体"/>
                <w:color w:val="000000"/>
              </w:rPr>
            </w:pPr>
            <w:r>
              <w:rPr>
                <w:rFonts w:hint="eastAsia" w:ascii="宋体" w:hAnsi="宋体" w:eastAsia="宋体" w:cs="宋体"/>
                <w:color w:val="000000"/>
              </w:rPr>
              <w:t xml:space="preserve"> 1.277 </w:t>
            </w:r>
          </w:p>
        </w:tc>
        <w:tc>
          <w:tcPr>
            <w:tcW w:w="1065" w:type="dxa"/>
            <w:tcBorders>
              <w:bottom w:val="nil"/>
            </w:tcBorders>
          </w:tcPr>
          <w:p w14:paraId="5A3C3480">
            <w:pPr>
              <w:rPr>
                <w:rFonts w:ascii="宋体" w:hAnsi="宋体" w:eastAsia="宋体" w:cs="宋体"/>
                <w:color w:val="000000"/>
              </w:rPr>
            </w:pPr>
            <w:r>
              <w:rPr>
                <w:rFonts w:hint="eastAsia" w:ascii="宋体" w:hAnsi="宋体" w:eastAsia="宋体" w:cs="宋体"/>
                <w:color w:val="000000"/>
              </w:rPr>
              <w:t xml:space="preserve"> 0.534 </w:t>
            </w:r>
          </w:p>
        </w:tc>
        <w:tc>
          <w:tcPr>
            <w:tcW w:w="1066" w:type="dxa"/>
            <w:tcBorders>
              <w:bottom w:val="nil"/>
              <w:right w:val="nil"/>
            </w:tcBorders>
          </w:tcPr>
          <w:p w14:paraId="03666104">
            <w:pPr>
              <w:rPr>
                <w:rFonts w:ascii="宋体" w:hAnsi="宋体" w:eastAsia="宋体" w:cs="宋体"/>
                <w:color w:val="000000"/>
              </w:rPr>
            </w:pPr>
            <w:r>
              <w:rPr>
                <w:rFonts w:hint="eastAsia" w:ascii="宋体" w:hAnsi="宋体" w:eastAsia="宋体" w:cs="宋体"/>
                <w:color w:val="000000"/>
              </w:rPr>
              <w:t xml:space="preserve"> 5.933 </w:t>
            </w:r>
          </w:p>
        </w:tc>
      </w:tr>
      <w:tr w14:paraId="4FBBAF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5" w:type="dxa"/>
            <w:tcBorders>
              <w:left w:val="nil"/>
            </w:tcBorders>
          </w:tcPr>
          <w:p w14:paraId="5ADD1B2E">
            <w:pPr>
              <w:rPr>
                <w:rFonts w:ascii="宋体" w:hAnsi="宋体" w:eastAsia="宋体" w:cs="宋体"/>
                <w:color w:val="000000"/>
              </w:rPr>
            </w:pPr>
            <w:r>
              <w:rPr>
                <w:rFonts w:hint="eastAsia" w:ascii="宋体" w:hAnsi="宋体" w:eastAsia="宋体" w:cs="宋体"/>
                <w:color w:val="000000"/>
              </w:rPr>
              <w:t xml:space="preserve"> 对外开放程度 </w:t>
            </w:r>
          </w:p>
        </w:tc>
        <w:tc>
          <w:tcPr>
            <w:tcW w:w="1065" w:type="dxa"/>
          </w:tcPr>
          <w:p w14:paraId="1B23368F">
            <w:pPr>
              <w:rPr>
                <w:rFonts w:ascii="宋体" w:hAnsi="宋体" w:eastAsia="宋体" w:cs="宋体"/>
                <w:color w:val="000000"/>
              </w:rPr>
            </w:pPr>
            <w:r>
              <w:rPr>
                <w:rFonts w:hint="eastAsia" w:ascii="宋体" w:hAnsi="宋体" w:eastAsia="宋体" w:cs="宋体"/>
                <w:color w:val="000000"/>
              </w:rPr>
              <w:t xml:space="preserve"> 775 </w:t>
            </w:r>
          </w:p>
        </w:tc>
        <w:tc>
          <w:tcPr>
            <w:tcW w:w="1065" w:type="dxa"/>
            <w:tcBorders>
              <w:top w:val="nil"/>
              <w:bottom w:val="single" w:color="auto" w:sz="12" w:space="0"/>
            </w:tcBorders>
          </w:tcPr>
          <w:p w14:paraId="644B286E">
            <w:pPr>
              <w:rPr>
                <w:rFonts w:ascii="宋体" w:hAnsi="宋体" w:eastAsia="宋体" w:cs="宋体"/>
                <w:color w:val="000000"/>
              </w:rPr>
            </w:pPr>
            <w:r>
              <w:rPr>
                <w:rFonts w:hint="eastAsia" w:ascii="宋体" w:hAnsi="宋体" w:eastAsia="宋体" w:cs="宋体"/>
                <w:color w:val="000000"/>
              </w:rPr>
              <w:t xml:space="preserve"> 0.458 </w:t>
            </w:r>
          </w:p>
        </w:tc>
        <w:tc>
          <w:tcPr>
            <w:tcW w:w="1065" w:type="dxa"/>
            <w:tcBorders>
              <w:top w:val="nil"/>
              <w:bottom w:val="single" w:color="auto" w:sz="12" w:space="0"/>
            </w:tcBorders>
          </w:tcPr>
          <w:p w14:paraId="3879541F">
            <w:pPr>
              <w:rPr>
                <w:rFonts w:ascii="宋体" w:hAnsi="宋体" w:eastAsia="宋体" w:cs="宋体"/>
                <w:color w:val="000000"/>
              </w:rPr>
            </w:pPr>
            <w:r>
              <w:rPr>
                <w:rFonts w:hint="eastAsia" w:ascii="宋体" w:hAnsi="宋体" w:eastAsia="宋体" w:cs="宋体"/>
                <w:color w:val="000000"/>
              </w:rPr>
              <w:t xml:space="preserve"> 0.443 </w:t>
            </w:r>
          </w:p>
        </w:tc>
        <w:tc>
          <w:tcPr>
            <w:tcW w:w="1065" w:type="dxa"/>
            <w:tcBorders>
              <w:top w:val="nil"/>
              <w:bottom w:val="single" w:color="auto" w:sz="12" w:space="0"/>
            </w:tcBorders>
          </w:tcPr>
          <w:p w14:paraId="54DE23EF">
            <w:pPr>
              <w:rPr>
                <w:rFonts w:ascii="宋体" w:hAnsi="宋体" w:eastAsia="宋体" w:cs="宋体"/>
                <w:color w:val="000000"/>
              </w:rPr>
            </w:pPr>
            <w:r>
              <w:rPr>
                <w:rFonts w:hint="eastAsia" w:ascii="宋体" w:hAnsi="宋体" w:eastAsia="宋体" w:cs="宋体"/>
                <w:color w:val="000000"/>
              </w:rPr>
              <w:t xml:space="preserve"> 0.007 </w:t>
            </w:r>
          </w:p>
        </w:tc>
        <w:tc>
          <w:tcPr>
            <w:tcW w:w="1066" w:type="dxa"/>
            <w:tcBorders>
              <w:top w:val="nil"/>
              <w:bottom w:val="single" w:color="auto" w:sz="12" w:space="0"/>
              <w:right w:val="nil"/>
            </w:tcBorders>
          </w:tcPr>
          <w:p w14:paraId="36B4721F">
            <w:pPr>
              <w:rPr>
                <w:rFonts w:ascii="宋体" w:hAnsi="宋体" w:eastAsia="宋体" w:cs="宋体"/>
                <w:color w:val="000000"/>
              </w:rPr>
            </w:pPr>
            <w:r>
              <w:rPr>
                <w:rFonts w:hint="eastAsia" w:ascii="宋体" w:hAnsi="宋体" w:eastAsia="宋体" w:cs="宋体"/>
                <w:color w:val="000000"/>
              </w:rPr>
              <w:t xml:space="preserve"> 1.640 </w:t>
            </w:r>
          </w:p>
        </w:tc>
      </w:tr>
    </w:tbl>
    <w:p w14:paraId="02362D2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9A38CE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从初步统计可以看出：（1）税负水平在各省份之间存在较大差异，最大值（约0.18）约为最小值（约0.03）的5.5倍，反映中国省际税收负担的不均衡[3]；（2）经济发展水平的标准差较大（0.884），说明东中西部经济发展差距显著；（3）对外开放程度的变异系数最大（约0.97），反映各省份对外开放水平的极端分化。</w:t>
      </w:r>
    </w:p>
    <w:p w14:paraId="60F42B8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82B027B">
      <w:pPr>
        <w:snapToGrid/>
        <w:spacing w:beforeAutospacing="0" w:afterAutospacing="0" w:line="324" w:lineRule="auto"/>
        <w:ind w:left="0" w:leftChars="0" w:right="0" w:rightChars="0" w:firstLine="480" w:firstLineChars="200"/>
        <w:jc w:val="both"/>
        <w:rPr>
          <w:rFonts w:ascii="Times New Roman" w:hAnsi="宋体" w:eastAsia="宋体" w:cs="宋体"/>
          <w:sz w:val="24"/>
          <w:szCs w:val="28"/>
        </w:rPr>
      </w:pPr>
    </w:p>
    <w:p w14:paraId="5663C36B">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szCs w:val="28"/>
        </w:rPr>
      </w:pPr>
      <w:r>
        <w:rPr>
          <w:rFonts w:hint="eastAsia" w:ascii="宋体" w:hAnsi="宋体" w:eastAsia="宋体" w:cs="宋体"/>
          <w:b w:val="0"/>
          <w:sz w:val="28"/>
          <w:szCs w:val="28"/>
        </w:rPr>
        <w:t>三、数据预处理与特征工程</w:t>
      </w:r>
    </w:p>
    <w:p w14:paraId="66E1C77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4E3A46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3.1 缺失值处理</w:t>
      </w:r>
    </w:p>
    <w:p w14:paraId="0306E34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B643C6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对数据集中各变量的缺失情况进行检查。经检验，数据集中大部分变量无缺失值。对于少数存在缺失的变量（如早期年份的“信息化水平”存在部分缺失），采用以下策略处理：</w:t>
      </w:r>
    </w:p>
    <w:p w14:paraId="3619A29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D718D1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对于缺失比例低于5%的变量，使用该省份该变量的前后年度均值进行插补</w:t>
      </w:r>
    </w:p>
    <w:p w14:paraId="14E090E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对于缺失比例较高的早期数据（如2000年部分省份的“信息化水平”），采用该变量在该年份的全国均值填补</w:t>
      </w:r>
    </w:p>
    <w:p w14:paraId="5222CEB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488481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经过上述处理，数据集实现了完整的无缺失状态，保证了后续建模的样本一致性。</w:t>
      </w:r>
    </w:p>
    <w:p w14:paraId="75111DF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D53328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3.2 异常值检测与处理</w:t>
      </w:r>
    </w:p>
    <w:p w14:paraId="3BB3A48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B8029E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采用箱线图法（IQR准则） 对连续变量进行异常值检测。定义低于Q11.5×IQR或高于Q3+1.5×IQR的观测值为异常值。检查发现：</w:t>
      </w:r>
    </w:p>
    <w:p w14:paraId="648628A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83BCFC6">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“对外开放程度”变量中，上海市、广东省等沿海省份在某些年份的数值偏高，属于经济结构的真实反映，予以保留</w:t>
      </w:r>
    </w:p>
    <w:p w14:paraId="5A3CF27D">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“财政支持力度”变量中，西藏自治区在某些年份的数值异常高（超过1.0），反映了中央财政转移支付的现实，予以保留</w:t>
      </w:r>
    </w:p>
    <w:p w14:paraId="12F9C5C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未发现因数据录入错误导致的异常值</w:t>
      </w:r>
    </w:p>
    <w:p w14:paraId="64A953D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4E2CCE2">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3.3 数据类型转换</w:t>
      </w:r>
    </w:p>
    <w:p w14:paraId="1F79DC4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372CD5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数据集中的所有变量均为数值型，无需进行类型转换。目标变量“税负水平”为连续数值型，适用于回归任务。</w:t>
      </w:r>
    </w:p>
    <w:p w14:paraId="068474D6">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57611DF">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3.4 标准化与归一化</w:t>
      </w:r>
    </w:p>
    <w:p w14:paraId="60800B5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AB15D5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由于不同特征的量纲差异较大如“人口密度”以人/平方公里计，“经济发展水平”为对数形式，为保证机器学习模型，尤其是线性回归和基于距离的算法的训练效果，对所有特征变量进行标准化处理：</w:t>
      </w:r>
    </w:p>
    <w:p w14:paraId="3D03723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EA7DFA3">
      <w:pPr>
        <w:snapToGrid/>
        <w:spacing w:beforeAutospacing="0" w:afterAutospacing="0" w:line="324" w:lineRule="auto"/>
        <w:ind w:left="0" w:leftChars="0" w:right="0" w:rightChars="0" w:firstLine="480" w:firstLineChars="200"/>
        <w:jc w:val="both"/>
        <w:rPr>
          <w:rFonts w:ascii="Times New Roman" w:hAnsi="宋体" w:eastAsia="宋体" w:cs="宋体"/>
          <w:sz w:val="24"/>
        </w:rPr>
      </w:pPr>
      <m:oMathPara>
        <m:oMath>
          <m:r>
            <m:rPr/>
            <w:rPr>
              <w:rFonts w:ascii="Times New Roman" w:hAnsi="Times New Roman" w:eastAsia="宋体"/>
              <w:sz w:val="24"/>
            </w:rPr>
            <m:t>z=</m:t>
          </m:r>
          <m:f>
            <m:fPr>
              <m:ctrlPr>
                <w:rPr>
                  <w:rFonts w:ascii="Cambria Math" w:hAnsi="Cambria Math" w:eastAsia="宋体"/>
                  <w:sz w:val="24"/>
                </w:rPr>
              </m:ctrlPr>
            </m:fPr>
            <m:num>
              <m:r>
                <m:rPr/>
                <w:rPr>
                  <w:rFonts w:ascii="Times New Roman" w:hAnsi="Times New Roman" w:eastAsia="宋体"/>
                  <w:sz w:val="24"/>
                </w:rPr>
                <m:t>σ</m:t>
              </m:r>
              <m:ctrlPr>
                <w:rPr>
                  <w:rFonts w:ascii="Cambria Math" w:hAnsi="Cambria Math" w:eastAsia="宋体"/>
                  <w:sz w:val="24"/>
                </w:rPr>
              </m:ctrlPr>
            </m:num>
            <m:den>
              <m:r>
                <m:rPr/>
                <w:rPr>
                  <w:rFonts w:ascii="Times New Roman" w:hAnsi="Times New Roman" w:eastAsia="宋体"/>
                  <w:sz w:val="24"/>
                </w:rPr>
                <m:t>μ−x</m:t>
              </m:r>
              <m:ctrlPr>
                <w:rPr>
                  <w:rFonts w:ascii="Cambria Math" w:hAnsi="Cambria Math" w:eastAsia="宋体"/>
                  <w:sz w:val="24"/>
                </w:rPr>
              </m:ctrlPr>
            </m:den>
          </m:f>
        </m:oMath>
      </m:oMathPara>
    </w:p>
    <w:p w14:paraId="6793BEF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 xml:space="preserve">其中 </w:t>
      </w:r>
      <m:oMath>
        <m:r>
          <m:rPr/>
          <w:rPr>
            <w:rFonts w:ascii="Times New Roman" w:hAnsi="Times New Roman" w:eastAsia="宋体"/>
            <w:sz w:val="24"/>
          </w:rPr>
          <m:t>μ</m:t>
        </m:r>
      </m:oMath>
      <w:r>
        <w:rPr>
          <w:rFonts w:hint="eastAsia" w:ascii="Times New Roman" w:hAnsi="宋体" w:eastAsia="宋体" w:cs="宋体"/>
          <w:sz w:val="24"/>
        </w:rPr>
        <w:t>为特征的均值，</w:t>
      </w:r>
      <m:oMath>
        <m:r>
          <m:rPr/>
          <w:rPr>
            <w:rFonts w:ascii="Times New Roman" w:hAnsi="Times New Roman" w:eastAsia="宋体"/>
            <w:sz w:val="24"/>
          </w:rPr>
          <m:t>σ</m:t>
        </m:r>
      </m:oMath>
      <w:r>
        <w:rPr>
          <w:rFonts w:hint="eastAsia" w:ascii="Times New Roman" w:hAnsi="宋体" w:eastAsia="宋体" w:cs="宋体"/>
          <w:sz w:val="24"/>
        </w:rPr>
        <w:t xml:space="preserve"> 为特征的标准差。标准化后，所有特征均值为0，标准差为1，消除了量纲影响。对于树模型，标准化并非必需，但为保持一致性，统一对特征进行了标准化处理。</w:t>
      </w:r>
    </w:p>
    <w:p w14:paraId="2F54569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7E9752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szCs w:val="32"/>
        </w:rPr>
        <w:t>3</w:t>
      </w:r>
      <w:r>
        <w:rPr>
          <w:rFonts w:hint="eastAsia" w:ascii="Times New Roman" w:hAnsi="宋体" w:eastAsia="宋体" w:cs="宋体"/>
          <w:b w:val="0"/>
          <w:sz w:val="28"/>
        </w:rPr>
        <w:t>.5 特征构造</w:t>
      </w:r>
    </w:p>
    <w:p w14:paraId="4663DDB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9E3019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基于对税负水平影响机制的理论分析[2][4]，构造了以下交互特征：</w:t>
      </w:r>
    </w:p>
    <w:p w14:paraId="71E49A2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E2D7CA7">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 经济发展与产业结构的交互项：经济发展水平 × 产业结构三产GDP，反映经济发展不同阶段下产业结构对税基的影响差异</w:t>
      </w:r>
    </w:p>
    <w:p w14:paraId="271D0C8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 对外开放与城镇化交互项：对外开放程度 × 城镇化率，反映外向型经济与城市化进程的协同效应</w:t>
      </w:r>
    </w:p>
    <w:p w14:paraId="2B3C63F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 财政支持与税负的比率特征：财政支持力度 / 税负水平（仅用于探索性分析，不纳入建模）</w:t>
      </w:r>
    </w:p>
    <w:p w14:paraId="25E6B50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04F1F2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此外，考虑到税负水平可能存在时间滞后效应，构造了目标变量的一阶滞后项作为特征（税负水平_lag1），以捕捉税负的持续性特征。</w:t>
      </w:r>
    </w:p>
    <w:p w14:paraId="5CE1CE4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6C5A1BF">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3.6 类别变量编码</w:t>
      </w:r>
    </w:p>
    <w:p w14:paraId="50574D1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E9D9E57">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本数据集中无类别变量，所有省份名称和编码仅作为标识符使用，不纳入建模特征。</w:t>
      </w:r>
    </w:p>
    <w:p w14:paraId="369D2B3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8DBF3EA">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3.7 类别不平衡处理</w:t>
      </w:r>
    </w:p>
    <w:p w14:paraId="64B9451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089F81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本任务为回归任务（预测连续型目标变量），不存在类别不平衡问题。</w:t>
      </w:r>
    </w:p>
    <w:p w14:paraId="2402E09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70B167A">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3.8 数据划分</w:t>
      </w:r>
    </w:p>
    <w:p w14:paraId="3E0B4C0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AE4396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由于数据为面板数据（时间序列横截面混合结构），在划分训练集、验证集和测试集时，严格按时间顺序划分，以避免未来信息泄漏：</w:t>
      </w:r>
    </w:p>
    <w:p w14:paraId="0FCAA5F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C4E1A9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训练集：2000—2017年（18年 × 31省份 = 558条样本）</w:t>
      </w:r>
    </w:p>
    <w:p w14:paraId="6AC6623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验证集：2018—2020年（3年 × 31省份 = 93条样本）</w:t>
      </w:r>
    </w:p>
    <w:p w14:paraId="552488E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测试集：2021—2024年（4年 × 31省份 = 124条样本）</w:t>
      </w:r>
    </w:p>
    <w:p w14:paraId="18C71A9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768901E">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这种划分方式确保模型仅在历史数据上训练，在“未来”数据上评估，更贴近实际预测场景。</w:t>
      </w:r>
    </w:p>
    <w:p w14:paraId="068AF6B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AC6FCB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6DDF085">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rPr>
      </w:pPr>
      <w:r>
        <w:rPr>
          <w:rFonts w:hint="eastAsia" w:ascii="宋体" w:hAnsi="宋体" w:eastAsia="宋体" w:cs="宋体"/>
          <w:b w:val="0"/>
          <w:sz w:val="28"/>
        </w:rPr>
        <w:t>四、建模与算法选择</w:t>
      </w:r>
    </w:p>
    <w:p w14:paraId="724E039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F1507F4">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4.1 算法选择依据</w:t>
      </w:r>
    </w:p>
    <w:p w14:paraId="0C50685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EC1491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本文选取三种不同复杂度的方法进行对比：</w:t>
      </w:r>
    </w:p>
    <w:p w14:paraId="46FFD11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BD978C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（1）线性回归</w:t>
      </w:r>
    </w:p>
    <w:p w14:paraId="4E7C9C5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81A30E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作为基线模型，用于评估线性关系假设下的预测效果。线性回归假设目标变量与特征之间存在线性关系，模型形式为：</w:t>
      </w:r>
    </w:p>
    <w:p w14:paraId="6B2D2C27">
      <w:pPr>
        <w:snapToGrid/>
        <w:spacing w:beforeAutospacing="0" w:afterAutospacing="0" w:line="324" w:lineRule="auto"/>
        <w:ind w:left="0" w:leftChars="0" w:right="0" w:rightChars="0" w:firstLine="480" w:firstLineChars="200"/>
        <w:jc w:val="both"/>
        <w:rPr>
          <w:rFonts w:ascii="Times New Roman" w:hAnsi="宋体" w:eastAsia="宋体" w:cs="宋体"/>
          <w:sz w:val="24"/>
        </w:rPr>
      </w:pPr>
      <m:oMathPara>
        <m:oMath>
          <m:r>
            <m:rPr/>
            <w:rPr>
              <w:rFonts w:ascii="Times New Roman" w:hAnsi="Times New Roman" w:eastAsia="宋体"/>
              <w:sz w:val="24"/>
            </w:rPr>
            <m:t>y=</m:t>
          </m:r>
          <m:sSub>
            <m:sSubPr>
              <m:ctrlPr>
                <w:rPr>
                  <w:rFonts w:ascii="Cambria Math" w:hAnsi="Cambria Math" w:eastAsia="宋体"/>
                  <w:sz w:val="24"/>
                </w:rPr>
              </m:ctrlPr>
            </m:sSubPr>
            <m:e>
              <m:r>
                <m:rPr/>
                <w:rPr>
                  <w:rFonts w:ascii="Times New Roman" w:hAnsi="Times New Roman" w:eastAsia="宋体"/>
                  <w:sz w:val="24"/>
                </w:rPr>
                <m:t>β</m:t>
              </m:r>
              <m:ctrlPr>
                <w:rPr>
                  <w:rFonts w:ascii="Cambria Math" w:hAnsi="Cambria Math" w:eastAsia="宋体"/>
                  <w:sz w:val="24"/>
                </w:rPr>
              </m:ctrlPr>
            </m:e>
            <m:sub>
              <m:r>
                <m:rPr/>
                <w:rPr>
                  <w:rFonts w:ascii="Times New Roman" w:hAnsi="Times New Roman" w:eastAsia="宋体"/>
                  <w:sz w:val="24"/>
                </w:rPr>
                <m:t>0</m:t>
              </m:r>
              <m:ctrlPr>
                <w:rPr>
                  <w:rFonts w:ascii="Cambria Math" w:hAnsi="Cambria Math" w:eastAsia="宋体"/>
                  <w:sz w:val="24"/>
                </w:rPr>
              </m:ctrlPr>
            </m:sub>
          </m:sSub>
          <m:r>
            <m:rPr/>
            <w:rPr>
              <w:rFonts w:ascii="Times New Roman" w:hAnsi="Times New Roman" w:eastAsia="宋体"/>
              <w:sz w:val="24"/>
            </w:rPr>
            <m:t>+</m:t>
          </m:r>
          <m:nary>
            <m:naryPr>
              <m:chr m:val="∑"/>
              <m:limLoc m:val="subSup"/>
              <m:ctrlPr>
                <w:rPr>
                  <w:rFonts w:ascii="Cambria Math" w:hAnsi="Cambria Math" w:eastAsia="宋体"/>
                  <w:sz w:val="24"/>
                </w:rPr>
              </m:ctrlPr>
            </m:naryPr>
            <m:sub>
              <m:r>
                <m:rPr/>
                <w:rPr>
                  <w:rFonts w:ascii="Times New Roman" w:hAnsi="Times New Roman" w:eastAsia="宋体"/>
                  <w:sz w:val="24"/>
                </w:rPr>
                <m:t>i=1</m:t>
              </m:r>
              <m:ctrlPr>
                <w:rPr>
                  <w:rFonts w:ascii="Cambria Math" w:hAnsi="Cambria Math" w:eastAsia="宋体"/>
                  <w:sz w:val="24"/>
                </w:rPr>
              </m:ctrlPr>
            </m:sub>
            <m:sup>
              <m:r>
                <m:rPr/>
                <w:rPr>
                  <w:rFonts w:ascii="Times New Roman" w:hAnsi="Times New Roman" w:eastAsia="宋体"/>
                  <w:sz w:val="24"/>
                </w:rPr>
                <m:t>p</m:t>
              </m:r>
              <m:ctrlPr>
                <w:rPr>
                  <w:rFonts w:ascii="Cambria Math" w:hAnsi="Cambria Math" w:eastAsia="宋体"/>
                  <w:sz w:val="24"/>
                </w:rPr>
              </m:ctrlPr>
            </m:sup>
            <m:e>
              <m:sSub>
                <m:sSubPr>
                  <m:ctrlPr>
                    <w:rPr>
                      <w:rFonts w:ascii="Cambria Math" w:hAnsi="Cambria Math" w:eastAsia="宋体"/>
                      <w:sz w:val="24"/>
                    </w:rPr>
                  </m:ctrlPr>
                </m:sSubPr>
                <m:e>
                  <m:r>
                    <m:rPr/>
                    <w:rPr>
                      <w:rFonts w:ascii="Times New Roman" w:hAnsi="Times New Roman" w:eastAsia="宋体"/>
                      <w:sz w:val="24"/>
                    </w:rPr>
                    <m:t>β</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ctrlPr>
                <w:rPr>
                  <w:rFonts w:ascii="Cambria Math" w:hAnsi="Cambria Math" w:eastAsia="宋体"/>
                  <w:sz w:val="24"/>
                </w:rPr>
              </m:ctrlPr>
            </m:e>
          </m:nary>
          <m:sSub>
            <m:sSubPr>
              <m:ctrlPr>
                <w:rPr>
                  <w:rFonts w:ascii="Cambria Math" w:hAnsi="Cambria Math" w:eastAsia="宋体"/>
                  <w:sz w:val="24"/>
                </w:rPr>
              </m:ctrlPr>
            </m:sSubPr>
            <m:e>
              <m:r>
                <m:rPr/>
                <w:rPr>
                  <w:rFonts w:ascii="Times New Roman" w:hAnsi="Times New Roman" w:eastAsia="宋体"/>
                  <w:sz w:val="24"/>
                </w:rPr>
                <m:t>x</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+ε</m:t>
          </m:r>
        </m:oMath>
      </m:oMathPara>
    </w:p>
    <w:p w14:paraId="1256B1E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线性回归的优势在于可解释性强，但可能无法捕捉变量间的非线性关系。</w:t>
      </w:r>
    </w:p>
    <w:p w14:paraId="5E46F99A">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F206DAC">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（2）随机森林（Random Forest）</w:t>
      </w:r>
    </w:p>
    <w:p w14:paraId="6DC0240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D0DC0C6">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随机森林是一种基于决策树的集成学习方法，通过构建多棵决策树并综合其预测结果来提升泛化能力[5]。其主要优势包括：</w:t>
      </w:r>
    </w:p>
    <w:p w14:paraId="32C51F3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能够自动捕捉特征间的非线性交互</w:t>
      </w:r>
    </w:p>
    <w:p w14:paraId="316DADD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对异常值和噪声具有鲁棒性</w:t>
      </w:r>
    </w:p>
    <w:p w14:paraId="6A427A5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可输出特征重要性，辅助解释</w:t>
      </w:r>
    </w:p>
    <w:p w14:paraId="5137DE0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CEC759D">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（3）XGBoost</w:t>
      </w:r>
    </w:p>
    <w:p w14:paraId="47F9509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XGBoost是一种梯度提升决策树的高效实现，通过串行构建决策树，每棵树拟合前一棵树的残差[6][7]。其主要优势包括：预测精度高，在各类机器学习竞赛中表现优异;内置正则化项，防止过拟合;支持并行计算，训练效率高。</w:t>
      </w:r>
    </w:p>
    <w:p w14:paraId="0447A31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已有研究表明，XGBoost在处理省级面板数据的预测任务中，预测精度通常优于传统线性模型和随机森林[6]。</w:t>
      </w:r>
    </w:p>
    <w:p w14:paraId="6E28559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5B05FE0">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4.2 超参数调优</w:t>
      </w:r>
    </w:p>
    <w:p w14:paraId="64E6FDA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63A5AF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采用网格搜索（Grid Search） 结合5折交叉验证对关键超参数进行调优。</w:t>
      </w:r>
    </w:p>
    <w:p w14:paraId="175402A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A3F98C1">
      <w:pPr>
        <w:snapToGrid/>
        <w:spacing w:beforeAutospacing="0" w:afterAutospacing="0" w:line="324" w:lineRule="auto"/>
        <w:ind w:left="0" w:leftChars="0" w:right="0" w:rightChars="0" w:firstLine="482" w:firstLineChars="200"/>
        <w:jc w:val="both"/>
        <w:rPr>
          <w:rFonts w:ascii="Times New Roman" w:hAnsi="宋体" w:eastAsia="宋体" w:cs="宋体"/>
          <w:b/>
          <w:bCs/>
          <w:sz w:val="24"/>
        </w:rPr>
      </w:pPr>
      <w:r>
        <w:rPr>
          <w:rFonts w:hint="eastAsia" w:ascii="Times New Roman" w:hAnsi="宋体" w:eastAsia="宋体" w:cs="宋体"/>
          <w:b/>
          <w:bCs/>
          <w:sz w:val="24"/>
        </w:rPr>
        <w:t>随机森林调优参数：</w:t>
      </w:r>
    </w:p>
    <w:p w14:paraId="436BDD5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n_estimators：[50, 100, 200]</w:t>
      </w:r>
    </w:p>
    <w:p w14:paraId="16828F7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max_depth：[5, 10, 15, 20]</w:t>
      </w:r>
    </w:p>
    <w:p w14:paraId="5753CB5D">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min_samples_split：[2, 5, 10]</w:t>
      </w:r>
    </w:p>
    <w:p w14:paraId="3349971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min_samples_leaf：[1, 2, 4]</w:t>
      </w:r>
    </w:p>
    <w:p w14:paraId="0D5F8486">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2921521">
      <w:pPr>
        <w:snapToGrid/>
        <w:spacing w:beforeAutospacing="0" w:afterAutospacing="0" w:line="324" w:lineRule="auto"/>
        <w:ind w:left="0" w:leftChars="0" w:right="0" w:rightChars="0" w:firstLine="482" w:firstLineChars="200"/>
        <w:jc w:val="both"/>
        <w:rPr>
          <w:rFonts w:ascii="Times New Roman" w:hAnsi="宋体" w:eastAsia="宋体" w:cs="宋体"/>
          <w:sz w:val="24"/>
        </w:rPr>
      </w:pPr>
      <w:r>
        <w:rPr>
          <w:rFonts w:hint="eastAsia" w:ascii="Times New Roman" w:hAnsi="宋体" w:eastAsia="宋体" w:cs="宋体"/>
          <w:b/>
          <w:bCs/>
          <w:sz w:val="24"/>
        </w:rPr>
        <w:t>XGBoost调优参数：</w:t>
      </w:r>
    </w:p>
    <w:p w14:paraId="5E37697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n_estimators：[50, 100, 200]</w:t>
      </w:r>
    </w:p>
    <w:p w14:paraId="0EF69776">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max_depth：[3, 5, 7, 9]</w:t>
      </w:r>
    </w:p>
    <w:p w14:paraId="48774AE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learning_rate：[0.01, 0.05, 0.1, 0.2]</w:t>
      </w:r>
    </w:p>
    <w:p w14:paraId="5B00387E">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subsample：[0.7, 0.8, 1.0]</w:t>
      </w:r>
    </w:p>
    <w:p w14:paraId="76EC749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colsample_bytree：[0.7, 0.8, 1.0]</w:t>
      </w:r>
    </w:p>
    <w:p w14:paraId="2B2A7BE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3113C3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调优在验证集上进行，以均方根误差（RMSE）作为选择最优超参数组合的准则。</w:t>
      </w:r>
    </w:p>
    <w:p w14:paraId="4D27C85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030C63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414F2AC">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szCs w:val="36"/>
        </w:rPr>
      </w:pPr>
      <w:r>
        <w:rPr>
          <w:rFonts w:hint="eastAsia" w:ascii="宋体" w:hAnsi="宋体" w:eastAsia="宋体" w:cs="宋体"/>
          <w:b w:val="0"/>
          <w:sz w:val="28"/>
          <w:szCs w:val="36"/>
        </w:rPr>
        <w:t>五、模型评估与结果分析</w:t>
      </w:r>
    </w:p>
    <w:p w14:paraId="2C7CB4C6">
      <w:pPr>
        <w:snapToGrid/>
        <w:spacing w:beforeAutospacing="0" w:afterAutospacing="0" w:line="324" w:lineRule="auto"/>
        <w:ind w:left="0" w:leftChars="0" w:right="0" w:rightChars="0" w:firstLine="480" w:firstLineChars="200"/>
        <w:jc w:val="both"/>
        <w:rPr>
          <w:rFonts w:ascii="Times New Roman" w:hAnsi="宋体" w:eastAsia="宋体" w:cs="宋体"/>
          <w:sz w:val="24"/>
          <w:szCs w:val="36"/>
        </w:rPr>
      </w:pPr>
    </w:p>
    <w:p w14:paraId="72B3C1BD">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5.1 评估指标</w:t>
      </w:r>
    </w:p>
    <w:p w14:paraId="2D0D4F4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A32C8C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由于本任务为回归任务，采用以下评估指标：</w:t>
      </w:r>
    </w:p>
    <w:p w14:paraId="037D2AB5">
      <w:pPr>
        <w:snapToGrid/>
        <w:spacing w:beforeAutospacing="0" w:afterAutospacing="0" w:line="324" w:lineRule="auto"/>
        <w:ind w:left="0" w:leftChars="0" w:right="0" w:rightChars="0" w:firstLine="480" w:firstLineChars="200"/>
        <w:jc w:val="both"/>
        <w:rPr>
          <w:rFonts w:ascii="Times New Roman" w:hAnsi="Cambria Math" w:eastAsia="宋体"/>
          <w:sz w:val="24"/>
        </w:rPr>
      </w:pPr>
      <w:r>
        <w:rPr>
          <w:rFonts w:hint="eastAsia" w:ascii="Times New Roman" w:hAnsi="宋体" w:eastAsia="宋体" w:cs="宋体"/>
          <w:sz w:val="24"/>
        </w:rPr>
        <w:t>均方误差（MSE） ：</w:t>
      </w:r>
      <m:oMath>
        <m:r>
          <m:rPr>
            <m:sty m:val="p"/>
          </m:rPr>
          <w:rPr>
            <w:rFonts w:ascii="Times New Roman" w:hAnsi="Times New Roman" w:eastAsia="宋体"/>
            <w:sz w:val="24"/>
          </w:rPr>
          <m:t>MSE</m:t>
        </m:r>
        <m:r>
          <m:rPr/>
          <w:rPr>
            <w:rFonts w:ascii="Times New Roman" w:hAnsi="Times New Roman" w:eastAsia="宋体"/>
            <w:sz w:val="24"/>
          </w:rPr>
          <m:t>=</m:t>
        </m:r>
        <m:f>
          <m:fPr>
            <m:ctrlPr>
              <w:rPr>
                <w:rFonts w:ascii="Cambria Math" w:hAnsi="Cambria Math" w:eastAsia="宋体"/>
                <w:sz w:val="24"/>
              </w:rPr>
            </m:ctrlPr>
          </m:fPr>
          <m:num>
            <m:r>
              <m:rPr/>
              <w:rPr>
                <w:rFonts w:ascii="Times New Roman" w:hAnsi="Times New Roman" w:eastAsia="宋体"/>
                <w:sz w:val="24"/>
              </w:rPr>
              <m:t>1</m:t>
            </m:r>
            <m:ctrlPr>
              <w:rPr>
                <w:rFonts w:ascii="Cambria Math" w:hAnsi="Cambria Math" w:eastAsia="宋体"/>
                <w:sz w:val="24"/>
              </w:rPr>
            </m:ctrlPr>
          </m:num>
          <m:den>
            <m:r>
              <m:rPr/>
              <w:rPr>
                <w:rFonts w:ascii="Times New Roman" w:hAnsi="Times New Roman" w:eastAsia="宋体"/>
                <w:sz w:val="24"/>
              </w:rPr>
              <m:t>n</m:t>
            </m:r>
            <m:ctrlPr>
              <w:rPr>
                <w:rFonts w:ascii="Cambria Math" w:hAnsi="Cambria Math" w:eastAsia="宋体"/>
                <w:sz w:val="24"/>
              </w:rPr>
            </m:ctrlPr>
          </m:den>
        </m:f>
        <m:nary>
          <m:naryPr>
            <m:chr m:val="∑"/>
            <m:limLoc m:val="subSup"/>
            <m:ctrlPr>
              <w:rPr>
                <w:rFonts w:ascii="Cambria Math" w:hAnsi="Cambria Math" w:eastAsia="宋体"/>
                <w:sz w:val="24"/>
              </w:rPr>
            </m:ctrlPr>
          </m:naryPr>
          <m:sub>
            <m:r>
              <m:rPr/>
              <w:rPr>
                <w:rFonts w:ascii="Times New Roman" w:hAnsi="Times New Roman" w:eastAsia="宋体"/>
                <w:sz w:val="24"/>
              </w:rPr>
              <m:t>i=1</m:t>
            </m:r>
            <m:ctrlPr>
              <w:rPr>
                <w:rFonts w:ascii="Cambria Math" w:hAnsi="Cambria Math" w:eastAsia="宋体"/>
                <w:sz w:val="24"/>
              </w:rPr>
            </m:ctrlPr>
          </m:sub>
          <m:sup>
            <m:r>
              <m:rPr/>
              <w:rPr>
                <w:rFonts w:ascii="Times New Roman" w:hAnsi="Times New Roman" w:eastAsia="宋体"/>
                <w:sz w:val="24"/>
              </w:rPr>
              <m:t>n</m:t>
            </m:r>
            <m:ctrlPr>
              <w:rPr>
                <w:rFonts w:ascii="Cambria Math" w:hAnsi="Cambria Math" w:eastAsia="宋体"/>
                <w:sz w:val="24"/>
              </w:rPr>
            </m:ctrlPr>
          </m:sup>
          <m:e>
            <m:sSup>
              <m:sSupPr>
                <m:ctrlPr>
                  <w:rPr>
                    <w:rFonts w:ascii="Cambria Math" w:hAnsi="Cambria Math" w:eastAsia="宋体"/>
                    <w:sz w:val="24"/>
                  </w:rPr>
                </m:ctrlPr>
              </m:sSupPr>
              <m:e>
                <m:d>
                  <m:dPr>
                    <m:ctrlPr>
                      <w:rPr>
                        <w:rFonts w:ascii="Cambria Math" w:hAnsi="Cambria Math" w:eastAsia="宋体"/>
                        <w:sz w:val="24"/>
                      </w:rPr>
                    </m:ctrlPr>
                  </m:dPr>
                  <m:e>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acc>
                          <m:accPr>
                            <m:ctrlPr>
                              <w:rPr>
                                <w:rFonts w:ascii="Cambria Math" w:hAnsi="Cambria Math" w:eastAsia="宋体"/>
                                <w:sz w:val="24"/>
                              </w:rPr>
                            </m:ctrlPr>
                          </m:accPr>
                          <m:e>
                            <m:r>
                              <m:rPr/>
                              <w:rPr>
                                <w:rFonts w:ascii="Times New Roman" w:hAnsi="Times New Roman" w:eastAsia="宋体"/>
                                <w:sz w:val="24"/>
                              </w:rPr>
                              <m:t>y</m:t>
                            </m:r>
                            <m:ctrlPr>
                              <w:rPr>
                                <w:rFonts w:ascii="Cambria Math" w:hAnsi="Cambria Math" w:eastAsia="宋体"/>
                                <w:sz w:val="24"/>
                              </w:rPr>
                            </m:ctrlPr>
                          </m:e>
                        </m:acc>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sz w:val="24"/>
                  </w:rPr>
                </m:ctrlPr>
              </m:e>
              <m:sup>
                <m:r>
                  <m:rPr/>
                  <w:rPr>
                    <w:rFonts w:ascii="Times New Roman" w:hAnsi="Times New Roman" w:eastAsia="宋体"/>
                    <w:sz w:val="24"/>
                  </w:rPr>
                  <m:t>2</m:t>
                </m:r>
                <m:ctrlPr>
                  <w:rPr>
                    <w:rFonts w:ascii="Cambria Math" w:hAnsi="Cambria Math" w:eastAsia="宋体"/>
                    <w:sz w:val="24"/>
                  </w:rPr>
                </m:ctrlPr>
              </m:sup>
            </m:sSup>
            <m:ctrlPr>
              <w:rPr>
                <w:rFonts w:ascii="Cambria Math" w:hAnsi="Cambria Math" w:eastAsia="宋体"/>
                <w:sz w:val="24"/>
              </w:rPr>
            </m:ctrlPr>
          </m:e>
        </m:nary>
      </m:oMath>
    </w:p>
    <w:p w14:paraId="16B342E8">
      <w:pPr>
        <w:snapToGrid/>
        <w:spacing w:beforeAutospacing="0" w:afterAutospacing="0" w:line="324" w:lineRule="auto"/>
        <w:ind w:left="0" w:leftChars="0" w:right="0" w:rightChars="0" w:firstLine="480" w:firstLineChars="200"/>
        <w:jc w:val="both"/>
        <w:rPr>
          <w:rFonts w:ascii="Times New Roman" w:hAnsi="Cambria Math" w:eastAsia="宋体"/>
          <w:sz w:val="24"/>
        </w:rPr>
      </w:pPr>
      <w:r>
        <w:rPr>
          <w:rFonts w:hint="eastAsia" w:ascii="Times New Roman" w:hAnsi="宋体" w:eastAsia="宋体" w:cs="宋体"/>
          <w:sz w:val="24"/>
        </w:rPr>
        <w:t>均方根误差（RMSE） ：</w:t>
      </w:r>
      <m:oMath>
        <m:r>
          <m:rPr>
            <m:sty m:val="p"/>
          </m:rPr>
          <w:rPr>
            <w:rFonts w:ascii="Times New Roman" w:hAnsi="Times New Roman" w:eastAsia="宋体"/>
            <w:sz w:val="24"/>
          </w:rPr>
          <m:t>RMSE</m:t>
        </m:r>
        <m:r>
          <m:rPr/>
          <w:rPr>
            <w:rFonts w:ascii="Times New Roman" w:hAnsi="Times New Roman" w:eastAsia="宋体"/>
            <w:sz w:val="24"/>
          </w:rPr>
          <m:t>=</m:t>
        </m:r>
        <m:rad>
          <m:radPr>
            <m:degHide m:val="1"/>
            <m:ctrlPr>
              <w:rPr>
                <w:rFonts w:ascii="Cambria Math" w:hAnsi="Cambria Math" w:eastAsia="宋体"/>
                <w:sz w:val="24"/>
              </w:rPr>
            </m:ctrlPr>
          </m:radPr>
          <m:deg>
            <m:ctrlPr>
              <w:rPr>
                <w:rFonts w:ascii="Cambria Math" w:hAnsi="Cambria Math" w:eastAsia="宋体"/>
                <w:sz w:val="24"/>
              </w:rPr>
            </m:ctrlPr>
          </m:deg>
          <m:e>
            <m:r>
              <m:rPr>
                <m:sty m:val="p"/>
              </m:rPr>
              <w:rPr>
                <w:rFonts w:ascii="Times New Roman" w:hAnsi="Times New Roman" w:eastAsia="宋体"/>
                <w:sz w:val="24"/>
              </w:rPr>
              <m:t>MSE</m:t>
            </m:r>
            <m:ctrlPr>
              <w:rPr>
                <w:rFonts w:ascii="Cambria Math" w:hAnsi="Cambria Math" w:eastAsia="宋体"/>
                <w:sz w:val="24"/>
              </w:rPr>
            </m:ctrlPr>
          </m:e>
        </m:rad>
      </m:oMath>
    </w:p>
    <w:p w14:paraId="1E5605D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平均绝对误差（MAE） ：</w:t>
      </w:r>
      <m:oMath>
        <m:r>
          <m:rPr>
            <m:sty m:val="p"/>
          </m:rPr>
          <w:rPr>
            <w:rFonts w:ascii="Times New Roman" w:hAnsi="Times New Roman" w:eastAsia="宋体"/>
            <w:sz w:val="24"/>
          </w:rPr>
          <m:t>MAE</m:t>
        </m:r>
        <m:r>
          <m:rPr/>
          <w:rPr>
            <w:rFonts w:ascii="Times New Roman" w:hAnsi="Times New Roman" w:eastAsia="宋体"/>
            <w:sz w:val="24"/>
          </w:rPr>
          <m:t>=</m:t>
        </m:r>
        <m:f>
          <m:fPr>
            <m:ctrlPr>
              <w:rPr>
                <w:rFonts w:ascii="Cambria Math" w:hAnsi="Cambria Math" w:eastAsia="宋体"/>
                <w:sz w:val="24"/>
              </w:rPr>
            </m:ctrlPr>
          </m:fPr>
          <m:num>
            <m:r>
              <m:rPr/>
              <w:rPr>
                <w:rFonts w:ascii="Times New Roman" w:hAnsi="Times New Roman" w:eastAsia="宋体"/>
                <w:sz w:val="24"/>
              </w:rPr>
              <m:t>1</m:t>
            </m:r>
            <m:ctrlPr>
              <w:rPr>
                <w:rFonts w:ascii="Cambria Math" w:hAnsi="Cambria Math" w:eastAsia="宋体"/>
                <w:sz w:val="24"/>
              </w:rPr>
            </m:ctrlPr>
          </m:num>
          <m:den>
            <m:r>
              <m:rPr/>
              <w:rPr>
                <w:rFonts w:ascii="Times New Roman" w:hAnsi="Times New Roman" w:eastAsia="宋体"/>
                <w:sz w:val="24"/>
              </w:rPr>
              <m:t>n</m:t>
            </m:r>
            <m:ctrlPr>
              <w:rPr>
                <w:rFonts w:ascii="Cambria Math" w:hAnsi="Cambria Math" w:eastAsia="宋体"/>
                <w:sz w:val="24"/>
              </w:rPr>
            </m:ctrlPr>
          </m:den>
        </m:f>
        <m:nary>
          <m:naryPr>
            <m:chr m:val="∑"/>
            <m:limLoc m:val="subSup"/>
            <m:ctrlPr>
              <w:rPr>
                <w:rFonts w:ascii="Cambria Math" w:hAnsi="Cambria Math" w:eastAsia="宋体"/>
                <w:sz w:val="24"/>
              </w:rPr>
            </m:ctrlPr>
          </m:naryPr>
          <m:sub>
            <m:r>
              <m:rPr/>
              <w:rPr>
                <w:rFonts w:ascii="Times New Roman" w:hAnsi="Times New Roman" w:eastAsia="宋体"/>
                <w:sz w:val="24"/>
              </w:rPr>
              <m:t>i=1</m:t>
            </m:r>
            <m:ctrlPr>
              <w:rPr>
                <w:rFonts w:ascii="Cambria Math" w:hAnsi="Cambria Math" w:eastAsia="宋体"/>
                <w:sz w:val="24"/>
              </w:rPr>
            </m:ctrlPr>
          </m:sub>
          <m:sup>
            <m:r>
              <m:rPr/>
              <w:rPr>
                <w:rFonts w:ascii="Times New Roman" w:hAnsi="Times New Roman" w:eastAsia="宋体"/>
                <w:sz w:val="24"/>
              </w:rPr>
              <m:t>n</m:t>
            </m:r>
            <m:ctrlPr>
              <w:rPr>
                <w:rFonts w:ascii="Cambria Math" w:hAnsi="Cambria Math" w:eastAsia="宋体"/>
                <w:sz w:val="24"/>
              </w:rPr>
            </m:ctrlPr>
          </m:sup>
          <m:e>
            <m:d>
              <m:dPr>
                <m:begChr m:val="|"/>
                <m:endChr m:val="|"/>
                <m:ctrlPr>
                  <w:rPr>
                    <w:rFonts w:ascii="Cambria Math" w:hAnsi="Cambria Math" w:eastAsia="宋体"/>
                    <w:sz w:val="24"/>
                  </w:rPr>
                </m:ctrlPr>
              </m:dPr>
              <m:e>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acc>
                      <m:accPr>
                        <m:ctrlPr>
                          <w:rPr>
                            <w:rFonts w:ascii="Cambria Math" w:hAnsi="Cambria Math" w:eastAsia="宋体"/>
                            <w:sz w:val="24"/>
                          </w:rPr>
                        </m:ctrlPr>
                      </m:accPr>
                      <m:e>
                        <m:r>
                          <m:rPr/>
                          <w:rPr>
                            <w:rFonts w:ascii="Times New Roman" w:hAnsi="Times New Roman" w:eastAsia="宋体"/>
                            <w:sz w:val="24"/>
                          </w:rPr>
                          <m:t>y</m:t>
                        </m:r>
                        <m:ctrlPr>
                          <w:rPr>
                            <w:rFonts w:ascii="Cambria Math" w:hAnsi="Cambria Math" w:eastAsia="宋体"/>
                            <w:sz w:val="24"/>
                          </w:rPr>
                        </m:ctrlPr>
                      </m:e>
                    </m:acc>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sz w:val="24"/>
              </w:rPr>
            </m:ctrlPr>
          </m:e>
        </m:nary>
      </m:oMath>
    </w:p>
    <w:p w14:paraId="682BB872">
      <w:pPr>
        <w:snapToGrid/>
        <w:spacing w:beforeAutospacing="0" w:afterAutospacing="0" w:line="324" w:lineRule="auto"/>
        <w:ind w:left="0" w:leftChars="0" w:right="0" w:rightChars="0" w:firstLine="480" w:firstLineChars="200"/>
        <w:jc w:val="both"/>
        <w:rPr>
          <w:rFonts w:ascii="Times New Roman" w:hAnsi="Cambria Math" w:eastAsia="宋体"/>
          <w:sz w:val="24"/>
        </w:rPr>
      </w:pPr>
      <w:r>
        <w:rPr>
          <w:rFonts w:hint="eastAsia" w:ascii="Times New Roman" w:hAnsi="宋体" w:eastAsia="宋体" w:cs="宋体"/>
          <w:sz w:val="24"/>
        </w:rPr>
        <w:t>决定系数（R²） ：</w:t>
      </w:r>
      <m:oMath>
        <m:sSup>
          <m:sSupPr>
            <m:ctrlPr>
              <w:rPr>
                <w:rFonts w:ascii="Cambria Math" w:hAnsi="Cambria Math" w:eastAsia="宋体"/>
                <w:sz w:val="24"/>
              </w:rPr>
            </m:ctrlPr>
          </m:sSupPr>
          <m:e>
            <m:r>
              <m:rPr/>
              <w:rPr>
                <w:rFonts w:ascii="Times New Roman" w:hAnsi="Times New Roman" w:eastAsia="宋体"/>
                <w:sz w:val="24"/>
              </w:rPr>
              <m:t>R</m:t>
            </m:r>
            <m:ctrlPr>
              <w:rPr>
                <w:rFonts w:ascii="Cambria Math" w:hAnsi="Cambria Math" w:eastAsia="宋体"/>
                <w:sz w:val="24"/>
              </w:rPr>
            </m:ctrlPr>
          </m:e>
          <m:sup>
            <m:r>
              <m:rPr/>
              <w:rPr>
                <w:rFonts w:ascii="Times New Roman" w:hAnsi="Times New Roman" w:eastAsia="宋体"/>
                <w:sz w:val="24"/>
              </w:rPr>
              <m:t>2</m:t>
            </m:r>
            <m:ctrlPr>
              <w:rPr>
                <w:rFonts w:ascii="Cambria Math" w:hAnsi="Cambria Math" w:eastAsia="宋体"/>
                <w:sz w:val="24"/>
              </w:rPr>
            </m:ctrlPr>
          </m:sup>
        </m:sSup>
        <m:r>
          <m:rPr/>
          <w:rPr>
            <w:rFonts w:ascii="Times New Roman" w:hAnsi="Times New Roman" w:eastAsia="宋体"/>
            <w:sz w:val="24"/>
          </w:rPr>
          <m:t>=1−</m:t>
        </m:r>
        <m:f>
          <m:fPr>
            <m:ctrlPr>
              <w:rPr>
                <w:rFonts w:ascii="Cambria Math" w:hAnsi="Cambria Math" w:eastAsia="宋体"/>
                <w:sz w:val="24"/>
              </w:rPr>
            </m:ctrlPr>
          </m:fPr>
          <m:num>
            <m:nary>
              <m:naryPr>
                <m:chr m:val="∑"/>
                <m:limLoc m:val="subSup"/>
                <m:supHide m:val="1"/>
                <m:ctrlPr>
                  <w:rPr>
                    <w:rFonts w:ascii="Cambria Math" w:hAnsi="Cambria Math" w:eastAsia="宋体"/>
                    <w:sz w:val="24"/>
                  </w:rPr>
                </m:ctrlPr>
              </m:naryPr>
              <m:sub>
                <m:r>
                  <m:rPr/>
                  <w:rPr>
                    <w:rFonts w:ascii="Times New Roman" w:hAnsi="Times New Roman" w:eastAsia="宋体"/>
                    <w:sz w:val="24"/>
                  </w:rPr>
                  <m:t>i</m:t>
                </m:r>
                <m:ctrlPr>
                  <w:rPr>
                    <w:rFonts w:ascii="Cambria Math" w:hAnsi="Cambria Math" w:eastAsia="宋体"/>
                    <w:sz w:val="24"/>
                  </w:rPr>
                </m:ctrlPr>
              </m:sub>
              <m:sup>
                <m:ctrlPr>
                  <w:rPr>
                    <w:rFonts w:ascii="Cambria Math" w:hAnsi="Cambria Math" w:eastAsia="宋体"/>
                    <w:sz w:val="24"/>
                  </w:rPr>
                </m:ctrlPr>
              </m:sup>
              <m:e>
                <m:sSup>
                  <m:sSupPr>
                    <m:ctrlPr>
                      <w:rPr>
                        <w:rFonts w:ascii="Cambria Math" w:hAnsi="Cambria Math" w:eastAsia="宋体"/>
                        <w:sz w:val="24"/>
                      </w:rPr>
                    </m:ctrlPr>
                  </m:sSupPr>
                  <m:e>
                    <m:d>
                      <m:dPr>
                        <m:ctrlPr>
                          <w:rPr>
                            <w:rFonts w:ascii="Cambria Math" w:hAnsi="Cambria Math" w:eastAsia="宋体"/>
                            <w:sz w:val="24"/>
                          </w:rPr>
                        </m:ctrlPr>
                      </m:dPr>
                      <m:e>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sSub>
                          <m:sSubPr>
                            <m:ctrlPr>
                              <w:rPr>
                                <w:rFonts w:ascii="Cambria Math" w:hAnsi="Cambria Math" w:eastAsia="宋体"/>
                                <w:sz w:val="24"/>
                              </w:rPr>
                            </m:ctrlPr>
                          </m:sSubPr>
                          <m:e>
                            <m:acc>
                              <m:accPr>
                                <m:ctrlPr>
                                  <w:rPr>
                                    <w:rFonts w:ascii="Cambria Math" w:hAnsi="Cambria Math" w:eastAsia="宋体"/>
                                    <w:sz w:val="24"/>
                                  </w:rPr>
                                </m:ctrlPr>
                              </m:accPr>
                              <m:e>
                                <m:r>
                                  <m:rPr/>
                                  <w:rPr>
                                    <w:rFonts w:ascii="Times New Roman" w:hAnsi="Times New Roman" w:eastAsia="宋体"/>
                                    <w:sz w:val="24"/>
                                  </w:rPr>
                                  <m:t>y</m:t>
                                </m:r>
                                <m:ctrlPr>
                                  <w:rPr>
                                    <w:rFonts w:ascii="Cambria Math" w:hAnsi="Cambria Math" w:eastAsia="宋体"/>
                                    <w:sz w:val="24"/>
                                  </w:rPr>
                                </m:ctrlPr>
                              </m:e>
                            </m:acc>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sz w:val="24"/>
                      </w:rPr>
                    </m:ctrlPr>
                  </m:e>
                  <m:sup>
                    <m:r>
                      <m:rPr/>
                      <w:rPr>
                        <w:rFonts w:ascii="Times New Roman" w:hAnsi="Times New Roman" w:eastAsia="宋体"/>
                        <w:sz w:val="24"/>
                      </w:rPr>
                      <m:t>2</m:t>
                    </m:r>
                    <m:ctrlPr>
                      <w:rPr>
                        <w:rFonts w:ascii="Cambria Math" w:hAnsi="Cambria Math" w:eastAsia="宋体"/>
                        <w:sz w:val="24"/>
                      </w:rPr>
                    </m:ctrlPr>
                  </m:sup>
                </m:sSup>
                <m:ctrlPr>
                  <w:rPr>
                    <w:rFonts w:ascii="Cambria Math" w:hAnsi="Cambria Math" w:eastAsia="宋体"/>
                    <w:sz w:val="24"/>
                  </w:rPr>
                </m:ctrlPr>
              </m:e>
            </m:nary>
            <m:ctrlPr>
              <w:rPr>
                <w:rFonts w:ascii="Cambria Math" w:hAnsi="Cambria Math" w:eastAsia="宋体"/>
                <w:sz w:val="24"/>
              </w:rPr>
            </m:ctrlPr>
          </m:num>
          <m:den>
            <m:nary>
              <m:naryPr>
                <m:chr m:val="∑"/>
                <m:limLoc m:val="subSup"/>
                <m:supHide m:val="1"/>
                <m:ctrlPr>
                  <w:rPr>
                    <w:rFonts w:ascii="Cambria Math" w:hAnsi="Cambria Math" w:eastAsia="宋体"/>
                    <w:sz w:val="24"/>
                  </w:rPr>
                </m:ctrlPr>
              </m:naryPr>
              <m:sub>
                <m:r>
                  <m:rPr/>
                  <w:rPr>
                    <w:rFonts w:ascii="Times New Roman" w:hAnsi="Times New Roman" w:eastAsia="宋体"/>
                    <w:sz w:val="24"/>
                  </w:rPr>
                  <m:t>i</m:t>
                </m:r>
                <m:ctrlPr>
                  <w:rPr>
                    <w:rFonts w:ascii="Cambria Math" w:hAnsi="Cambria Math" w:eastAsia="宋体"/>
                    <w:sz w:val="24"/>
                  </w:rPr>
                </m:ctrlPr>
              </m:sub>
              <m:sup>
                <m:ctrlPr>
                  <w:rPr>
                    <w:rFonts w:ascii="Cambria Math" w:hAnsi="Cambria Math" w:eastAsia="宋体"/>
                    <w:sz w:val="24"/>
                  </w:rPr>
                </m:ctrlPr>
              </m:sup>
              <m:e>
                <m:sSup>
                  <m:sSupPr>
                    <m:ctrlPr>
                      <w:rPr>
                        <w:rFonts w:ascii="Cambria Math" w:hAnsi="Cambria Math" w:eastAsia="宋体"/>
                        <w:sz w:val="24"/>
                      </w:rPr>
                    </m:ctrlPr>
                  </m:sSupPr>
                  <m:e>
                    <m:d>
                      <m:dPr>
                        <m:ctrlPr>
                          <w:rPr>
                            <w:rFonts w:ascii="Cambria Math" w:hAnsi="Cambria Math" w:eastAsia="宋体"/>
                            <w:sz w:val="24"/>
                          </w:rPr>
                        </m:ctrlPr>
                      </m:dPr>
                      <m:e>
                        <m:sSub>
                          <m:sSubPr>
                            <m:ctrlPr>
                              <w:rPr>
                                <w:rFonts w:ascii="Cambria Math" w:hAnsi="Cambria Math" w:eastAsia="宋体"/>
                                <w:sz w:val="24"/>
                              </w:rPr>
                            </m:ctrlPr>
                          </m:sSubPr>
                          <m:e>
                            <m:r>
                              <m:rPr/>
                              <w:rPr>
                                <w:rFonts w:ascii="Times New Roman" w:hAnsi="Times New Roman" w:eastAsia="宋体"/>
                                <w:sz w:val="24"/>
                              </w:rPr>
                              <m:t>y</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w:rPr>
                            <w:rFonts w:ascii="Times New Roman" w:hAnsi="Times New Roman" w:eastAsia="宋体"/>
                            <w:sz w:val="24"/>
                          </w:rPr>
                          <m:t>−</m:t>
                        </m:r>
                        <m:acc>
                          <m:accPr>
                            <m:chr m:val="̄"/>
                            <m:ctrlPr>
                              <w:rPr>
                                <w:rFonts w:ascii="Cambria Math" w:hAnsi="Cambria Math" w:eastAsia="宋体"/>
                                <w:sz w:val="24"/>
                              </w:rPr>
                            </m:ctrlPr>
                          </m:accPr>
                          <m:e>
                            <m:r>
                              <m:rPr/>
                              <w:rPr>
                                <w:rFonts w:ascii="Times New Roman" w:hAnsi="Times New Roman" w:eastAsia="宋体"/>
                                <w:sz w:val="24"/>
                              </w:rPr>
                              <m:t>y</m:t>
                            </m:r>
                            <m:ctrlPr>
                              <w:rPr>
                                <w:rFonts w:ascii="Cambria Math" w:hAnsi="Cambria Math" w:eastAsia="宋体"/>
                                <w:sz w:val="24"/>
                              </w:rPr>
                            </m:ctrlPr>
                          </m:e>
                        </m:acc>
                        <m:ctrlPr>
                          <w:rPr>
                            <w:rFonts w:ascii="Cambria Math" w:hAnsi="Cambria Math" w:eastAsia="宋体"/>
                            <w:sz w:val="24"/>
                          </w:rPr>
                        </m:ctrlPr>
                      </m:e>
                    </m:d>
                    <m:ctrlPr>
                      <w:rPr>
                        <w:rFonts w:ascii="Cambria Math" w:hAnsi="Cambria Math" w:eastAsia="宋体"/>
                        <w:sz w:val="24"/>
                      </w:rPr>
                    </m:ctrlPr>
                  </m:e>
                  <m:sup>
                    <m:r>
                      <m:rPr/>
                      <w:rPr>
                        <w:rFonts w:ascii="Times New Roman" w:hAnsi="Times New Roman" w:eastAsia="宋体"/>
                        <w:sz w:val="24"/>
                      </w:rPr>
                      <m:t>2</m:t>
                    </m:r>
                    <m:ctrlPr>
                      <w:rPr>
                        <w:rFonts w:ascii="Cambria Math" w:hAnsi="Cambria Math" w:eastAsia="宋体"/>
                        <w:sz w:val="24"/>
                      </w:rPr>
                    </m:ctrlPr>
                  </m:sup>
                </m:sSup>
                <m:ctrlPr>
                  <w:rPr>
                    <w:rFonts w:ascii="Cambria Math" w:hAnsi="Cambria Math" w:eastAsia="宋体"/>
                    <w:sz w:val="24"/>
                  </w:rPr>
                </m:ctrlPr>
              </m:e>
            </m:nary>
            <m:ctrlPr>
              <w:rPr>
                <w:rFonts w:ascii="Cambria Math" w:hAnsi="Cambria Math" w:eastAsia="宋体"/>
                <w:sz w:val="24"/>
              </w:rPr>
            </m:ctrlPr>
          </m:den>
        </m:f>
      </m:oMath>
    </w:p>
    <w:p w14:paraId="3788B6E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其中R²越接近1说明模型拟合效果越好，RMSE和MAE越小说明预测误差越小。</w:t>
      </w:r>
    </w:p>
    <w:p w14:paraId="3ECC635A">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4FE4F3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5.2 模型性能对比</w:t>
      </w:r>
    </w:p>
    <w:p w14:paraId="76B7F60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6EB73D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三个模型在测试集（2021—2024年）上的表现如下：</w:t>
      </w:r>
    </w:p>
    <w:p w14:paraId="4D578C4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tbl>
      <w:tblPr>
        <w:tblStyle w:val="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7"/>
        <w:gridCol w:w="1217"/>
        <w:gridCol w:w="1217"/>
        <w:gridCol w:w="1218"/>
        <w:gridCol w:w="1218"/>
      </w:tblGrid>
      <w:tr w14:paraId="100DEB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17" w:type="dxa"/>
            <w:tcBorders>
              <w:top w:val="single" w:color="auto" w:sz="12" w:space="0"/>
              <w:left w:val="nil"/>
              <w:bottom w:val="single" w:color="auto" w:sz="6" w:space="0"/>
              <w:right w:val="nil"/>
              <w:insideH w:val="single" w:sz="6" w:space="0"/>
              <w:insideV w:val="nil"/>
              <w:tl2br w:val="nil"/>
              <w:tr2bl w:val="nil"/>
            </w:tcBorders>
          </w:tcPr>
          <w:p w14:paraId="09156424">
            <w:pPr>
              <w:rPr>
                <w:sz w:val="24"/>
              </w:rPr>
            </w:pPr>
            <w:r>
              <w:rPr>
                <w:rFonts w:hint="eastAsia" w:ascii="宋体" w:hAnsi="宋体" w:eastAsia="宋体" w:cs="宋体"/>
                <w:sz w:val="24"/>
              </w:rPr>
              <w:t xml:space="preserve"> 模型 </w:t>
            </w:r>
          </w:p>
        </w:tc>
        <w:tc>
          <w:tcPr>
            <w:tcW w:w="1217" w:type="dxa"/>
            <w:tcBorders>
              <w:top w:val="single" w:color="auto" w:sz="12" w:space="0"/>
              <w:bottom w:val="single" w:color="auto" w:sz="6" w:space="0"/>
              <w:right w:val="nil"/>
              <w:insideH w:val="single" w:sz="6" w:space="0"/>
              <w:insideV w:val="nil"/>
              <w:tl2br w:val="nil"/>
              <w:tr2bl w:val="nil"/>
            </w:tcBorders>
          </w:tcPr>
          <w:p w14:paraId="733F0D1C">
            <w:pPr>
              <w:rPr>
                <w:sz w:val="24"/>
              </w:rPr>
            </w:pPr>
            <w:r>
              <w:rPr>
                <w:rFonts w:hint="eastAsia" w:ascii="宋体" w:hAnsi="宋体" w:eastAsia="宋体" w:cs="宋体"/>
                <w:sz w:val="24"/>
              </w:rPr>
              <w:t xml:space="preserve"> MSE </w:t>
            </w:r>
          </w:p>
        </w:tc>
        <w:tc>
          <w:tcPr>
            <w:tcW w:w="1217" w:type="dxa"/>
            <w:tcBorders>
              <w:top w:val="single" w:color="auto" w:sz="12" w:space="0"/>
              <w:bottom w:val="single" w:color="auto" w:sz="6" w:space="0"/>
              <w:right w:val="nil"/>
              <w:insideH w:val="single" w:sz="6" w:space="0"/>
              <w:insideV w:val="nil"/>
              <w:tl2br w:val="nil"/>
              <w:tr2bl w:val="nil"/>
            </w:tcBorders>
          </w:tcPr>
          <w:p w14:paraId="38757C60">
            <w:pPr>
              <w:rPr>
                <w:sz w:val="24"/>
              </w:rPr>
            </w:pPr>
            <w:r>
              <w:rPr>
                <w:rFonts w:hint="eastAsia" w:ascii="宋体" w:hAnsi="宋体" w:eastAsia="宋体" w:cs="宋体"/>
                <w:sz w:val="24"/>
              </w:rPr>
              <w:t xml:space="preserve"> RMSE </w:t>
            </w:r>
          </w:p>
        </w:tc>
        <w:tc>
          <w:tcPr>
            <w:tcW w:w="1218" w:type="dxa"/>
            <w:tcBorders>
              <w:top w:val="single" w:color="auto" w:sz="12" w:space="0"/>
              <w:bottom w:val="single" w:color="auto" w:sz="6" w:space="0"/>
              <w:right w:val="nil"/>
              <w:insideH w:val="single" w:sz="6" w:space="0"/>
              <w:insideV w:val="nil"/>
              <w:tl2br w:val="nil"/>
              <w:tr2bl w:val="nil"/>
            </w:tcBorders>
          </w:tcPr>
          <w:p w14:paraId="4F9D6BE3">
            <w:pPr>
              <w:rPr>
                <w:sz w:val="24"/>
              </w:rPr>
            </w:pPr>
            <w:r>
              <w:rPr>
                <w:rFonts w:hint="eastAsia" w:ascii="宋体" w:hAnsi="宋体" w:eastAsia="宋体" w:cs="宋体"/>
                <w:sz w:val="24"/>
              </w:rPr>
              <w:t xml:space="preserve"> MAE </w:t>
            </w:r>
          </w:p>
        </w:tc>
        <w:tc>
          <w:tcPr>
            <w:tcW w:w="1218" w:type="dxa"/>
            <w:tcBorders>
              <w:top w:val="single" w:color="auto" w:sz="12" w:space="0"/>
              <w:bottom w:val="single" w:color="auto" w:sz="6" w:space="0"/>
              <w:right w:val="nil"/>
              <w:insideH w:val="single" w:sz="6" w:space="0"/>
              <w:insideV w:val="nil"/>
              <w:tl2br w:val="nil"/>
              <w:tr2bl w:val="nil"/>
            </w:tcBorders>
          </w:tcPr>
          <w:p w14:paraId="0F4CA639">
            <w:pPr>
              <w:rPr>
                <w:sz w:val="24"/>
              </w:rPr>
            </w:pPr>
            <w:r>
              <w:rPr>
                <w:rFonts w:hint="eastAsia" w:ascii="宋体" w:hAnsi="宋体" w:eastAsia="宋体" w:cs="宋体"/>
                <w:sz w:val="24"/>
              </w:rPr>
              <w:t xml:space="preserve"> R² </w:t>
            </w:r>
          </w:p>
        </w:tc>
      </w:tr>
      <w:tr w14:paraId="01395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17" w:type="dxa"/>
          </w:tcPr>
          <w:p w14:paraId="1EA8DAD2">
            <w:pPr>
              <w:rPr>
                <w:sz w:val="24"/>
              </w:rPr>
            </w:pPr>
            <w:r>
              <w:rPr>
                <w:rFonts w:hint="eastAsia" w:ascii="宋体" w:hAnsi="宋体" w:eastAsia="宋体" w:cs="宋体"/>
                <w:sz w:val="24"/>
              </w:rPr>
              <w:t xml:space="preserve"> 线性回归 </w:t>
            </w:r>
          </w:p>
        </w:tc>
        <w:tc>
          <w:tcPr>
            <w:tcW w:w="1217" w:type="dxa"/>
          </w:tcPr>
          <w:p w14:paraId="3692CEBE">
            <w:pPr>
              <w:rPr>
                <w:sz w:val="24"/>
              </w:rPr>
            </w:pPr>
            <w:r>
              <w:rPr>
                <w:rFonts w:hint="eastAsia" w:ascii="宋体" w:hAnsi="宋体" w:eastAsia="宋体" w:cs="宋体"/>
                <w:sz w:val="24"/>
              </w:rPr>
              <w:t xml:space="preserve"> 0.000248 </w:t>
            </w:r>
          </w:p>
        </w:tc>
        <w:tc>
          <w:tcPr>
            <w:tcW w:w="1217" w:type="dxa"/>
          </w:tcPr>
          <w:p w14:paraId="7D81985A">
            <w:pPr>
              <w:rPr>
                <w:sz w:val="24"/>
              </w:rPr>
            </w:pPr>
            <w:r>
              <w:rPr>
                <w:rFonts w:hint="eastAsia" w:ascii="宋体" w:hAnsi="宋体" w:eastAsia="宋体" w:cs="宋体"/>
                <w:sz w:val="24"/>
              </w:rPr>
              <w:t xml:space="preserve"> 0.01575 </w:t>
            </w:r>
          </w:p>
        </w:tc>
        <w:tc>
          <w:tcPr>
            <w:tcW w:w="1218" w:type="dxa"/>
          </w:tcPr>
          <w:p w14:paraId="78BCADA8">
            <w:pPr>
              <w:rPr>
                <w:sz w:val="24"/>
              </w:rPr>
            </w:pPr>
            <w:r>
              <w:rPr>
                <w:rFonts w:hint="eastAsia" w:ascii="宋体" w:hAnsi="宋体" w:eastAsia="宋体" w:cs="宋体"/>
                <w:sz w:val="24"/>
              </w:rPr>
              <w:t xml:space="preserve"> 0.01208 </w:t>
            </w:r>
          </w:p>
        </w:tc>
        <w:tc>
          <w:tcPr>
            <w:tcW w:w="1218" w:type="dxa"/>
          </w:tcPr>
          <w:p w14:paraId="5EA950FD">
            <w:pPr>
              <w:rPr>
                <w:sz w:val="24"/>
              </w:rPr>
            </w:pPr>
            <w:r>
              <w:rPr>
                <w:rFonts w:hint="eastAsia" w:ascii="宋体" w:hAnsi="宋体" w:eastAsia="宋体" w:cs="宋体"/>
                <w:sz w:val="24"/>
              </w:rPr>
              <w:t xml:space="preserve"> 0.544 </w:t>
            </w:r>
          </w:p>
        </w:tc>
      </w:tr>
      <w:tr w14:paraId="31492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17" w:type="dxa"/>
          </w:tcPr>
          <w:p w14:paraId="43743363">
            <w:pPr>
              <w:rPr>
                <w:sz w:val="24"/>
              </w:rPr>
            </w:pPr>
            <w:r>
              <w:rPr>
                <w:rFonts w:hint="eastAsia" w:ascii="宋体" w:hAnsi="宋体" w:eastAsia="宋体" w:cs="宋体"/>
                <w:sz w:val="24"/>
              </w:rPr>
              <w:t xml:space="preserve"> 随机森林 </w:t>
            </w:r>
          </w:p>
        </w:tc>
        <w:tc>
          <w:tcPr>
            <w:tcW w:w="1217" w:type="dxa"/>
          </w:tcPr>
          <w:p w14:paraId="1864A232">
            <w:pPr>
              <w:rPr>
                <w:sz w:val="24"/>
              </w:rPr>
            </w:pPr>
            <w:r>
              <w:rPr>
                <w:rFonts w:hint="eastAsia" w:ascii="宋体" w:hAnsi="宋体" w:eastAsia="宋体" w:cs="宋体"/>
                <w:sz w:val="24"/>
              </w:rPr>
              <w:t xml:space="preserve"> 0.000094 </w:t>
            </w:r>
          </w:p>
        </w:tc>
        <w:tc>
          <w:tcPr>
            <w:tcW w:w="1217" w:type="dxa"/>
          </w:tcPr>
          <w:p w14:paraId="0475A1B3">
            <w:pPr>
              <w:rPr>
                <w:sz w:val="24"/>
              </w:rPr>
            </w:pPr>
            <w:r>
              <w:rPr>
                <w:rFonts w:hint="eastAsia" w:ascii="宋体" w:hAnsi="宋体" w:eastAsia="宋体" w:cs="宋体"/>
                <w:sz w:val="24"/>
              </w:rPr>
              <w:t xml:space="preserve"> 0.00970 </w:t>
            </w:r>
          </w:p>
        </w:tc>
        <w:tc>
          <w:tcPr>
            <w:tcW w:w="1218" w:type="dxa"/>
          </w:tcPr>
          <w:p w14:paraId="239E2149">
            <w:pPr>
              <w:rPr>
                <w:sz w:val="24"/>
              </w:rPr>
            </w:pPr>
            <w:r>
              <w:rPr>
                <w:rFonts w:hint="eastAsia" w:ascii="宋体" w:hAnsi="宋体" w:eastAsia="宋体" w:cs="宋体"/>
                <w:sz w:val="24"/>
              </w:rPr>
              <w:t xml:space="preserve"> 0.00724 </w:t>
            </w:r>
          </w:p>
        </w:tc>
        <w:tc>
          <w:tcPr>
            <w:tcW w:w="1218" w:type="dxa"/>
          </w:tcPr>
          <w:p w14:paraId="04B1270B">
            <w:pPr>
              <w:rPr>
                <w:sz w:val="24"/>
              </w:rPr>
            </w:pPr>
            <w:r>
              <w:rPr>
                <w:rFonts w:hint="eastAsia" w:ascii="宋体" w:hAnsi="宋体" w:eastAsia="宋体" w:cs="宋体"/>
                <w:sz w:val="24"/>
              </w:rPr>
              <w:t xml:space="preserve"> 0.827 </w:t>
            </w:r>
          </w:p>
        </w:tc>
      </w:tr>
      <w:tr w14:paraId="1064B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17" w:type="dxa"/>
          </w:tcPr>
          <w:p w14:paraId="4B13ADB2">
            <w:pPr>
              <w:rPr>
                <w:sz w:val="24"/>
              </w:rPr>
            </w:pPr>
            <w:r>
              <w:rPr>
                <w:rFonts w:hint="eastAsia" w:ascii="宋体" w:hAnsi="宋体" w:eastAsia="宋体" w:cs="宋体"/>
                <w:sz w:val="24"/>
              </w:rPr>
              <w:t xml:space="preserve"> XGBoost </w:t>
            </w:r>
          </w:p>
        </w:tc>
        <w:tc>
          <w:tcPr>
            <w:tcW w:w="1217" w:type="dxa"/>
          </w:tcPr>
          <w:p w14:paraId="78999D2E">
            <w:pPr>
              <w:rPr>
                <w:sz w:val="24"/>
              </w:rPr>
            </w:pPr>
            <w:r>
              <w:rPr>
                <w:rFonts w:hint="eastAsia" w:ascii="宋体" w:hAnsi="宋体" w:eastAsia="宋体" w:cs="宋体"/>
                <w:sz w:val="24"/>
              </w:rPr>
              <w:t xml:space="preserve"> 0.000067 </w:t>
            </w:r>
          </w:p>
        </w:tc>
        <w:tc>
          <w:tcPr>
            <w:tcW w:w="1217" w:type="dxa"/>
          </w:tcPr>
          <w:p w14:paraId="1FD41666">
            <w:pPr>
              <w:rPr>
                <w:sz w:val="24"/>
              </w:rPr>
            </w:pPr>
            <w:r>
              <w:rPr>
                <w:rFonts w:hint="eastAsia" w:ascii="宋体" w:hAnsi="宋体" w:eastAsia="宋体" w:cs="宋体"/>
                <w:sz w:val="24"/>
              </w:rPr>
              <w:t xml:space="preserve"> 0.00819 </w:t>
            </w:r>
          </w:p>
        </w:tc>
        <w:tc>
          <w:tcPr>
            <w:tcW w:w="1218" w:type="dxa"/>
          </w:tcPr>
          <w:p w14:paraId="7A153A44">
            <w:pPr>
              <w:rPr>
                <w:sz w:val="24"/>
              </w:rPr>
            </w:pPr>
            <w:r>
              <w:rPr>
                <w:rFonts w:hint="eastAsia" w:ascii="宋体" w:hAnsi="宋体" w:eastAsia="宋体" w:cs="宋体"/>
                <w:sz w:val="24"/>
              </w:rPr>
              <w:t xml:space="preserve"> 0.00593 </w:t>
            </w:r>
          </w:p>
        </w:tc>
        <w:tc>
          <w:tcPr>
            <w:tcW w:w="1218" w:type="dxa"/>
          </w:tcPr>
          <w:p w14:paraId="5A82E9F2">
            <w:pPr>
              <w:rPr>
                <w:sz w:val="24"/>
              </w:rPr>
            </w:pPr>
            <w:r>
              <w:rPr>
                <w:rFonts w:hint="eastAsia" w:ascii="宋体" w:hAnsi="宋体" w:eastAsia="宋体" w:cs="宋体"/>
                <w:sz w:val="24"/>
              </w:rPr>
              <w:t xml:space="preserve"> 0.879 </w:t>
            </w:r>
          </w:p>
        </w:tc>
      </w:tr>
    </w:tbl>
    <w:p w14:paraId="6A01003A">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F978ABE">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结果分析：</w:t>
      </w:r>
    </w:p>
    <w:p w14:paraId="747225A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6B09C7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第一，线性回归表现最弱（R²=0.544） 。这一结果说明税负水平与各影响因素之间并非简单的线性关系。单纯依靠线性假设无法充分解释税负水平的变异，存在未被线性模型捕捉的非线性模式和交互效应[7]。</w:t>
      </w:r>
    </w:p>
    <w:p w14:paraId="0DD15C9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487432E">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第二，随机森林显著优于线性回归（R²从0.544提升至0.827） 。RMSE从0.01575降至0.00970，降幅达38.4%。这表明树模型能够有效捕捉特征间的非线性关系[5]，对于经济数据的建模具有明显优势。</w:t>
      </w:r>
    </w:p>
    <w:p w14:paraId="66DB393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C8C9FCD">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第三，XGBoost表现最优（R²=0.879） 。相较于随机森林，XGBoost的RMSE进一步降低15.6%（从0.00970降至0.00819）。XGBoost的梯度提升机制使其能够更精细地拟合数据中的复杂模式[6][7]，在预测精度上达到了最高水平。</w:t>
      </w:r>
    </w:p>
    <w:p w14:paraId="77A2BD0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A21CE1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从预测误差的绝对值来看，XGBoost的MAE为0.00593，意味着平均预测误差约为0.59个百分点，考虑到税负水平的均值约为7.96%，这一预测精度具有较高的实用价值。</w:t>
      </w:r>
    </w:p>
    <w:p w14:paraId="41DDA9B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AF9EF1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5.3 特征重要性分析</w:t>
      </w:r>
    </w:p>
    <w:p w14:paraId="1E0AC7C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F393E8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利用XGBoost内置的特征重要性评估机制，计算各特征对预测的贡献度。排名前十的重要特征如下：</w:t>
      </w:r>
    </w:p>
    <w:p w14:paraId="3D48534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tbl>
      <w:tblPr>
        <w:tblStyle w:val="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5"/>
      </w:tblGrid>
      <w:tr w14:paraId="5800D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12" w:space="0"/>
              <w:left w:val="nil"/>
              <w:bottom w:val="single" w:color="auto" w:sz="6" w:space="0"/>
              <w:right w:val="nil"/>
              <w:insideH w:val="single" w:sz="6" w:space="0"/>
              <w:insideV w:val="nil"/>
              <w:tl2br w:val="nil"/>
              <w:tr2bl w:val="nil"/>
            </w:tcBorders>
          </w:tcPr>
          <w:p w14:paraId="37E76F80">
            <w:r>
              <w:rPr>
                <w:rFonts w:hint="eastAsia" w:ascii="宋体" w:hAnsi="宋体" w:eastAsia="宋体" w:cs="宋体"/>
              </w:rPr>
              <w:t xml:space="preserve"> 排名 </w:t>
            </w:r>
          </w:p>
        </w:tc>
        <w:tc>
          <w:tcPr>
            <w:tcW w:w="1704" w:type="dxa"/>
            <w:tcBorders>
              <w:top w:val="single" w:color="auto" w:sz="12" w:space="0"/>
              <w:bottom w:val="single" w:color="auto" w:sz="6" w:space="0"/>
              <w:right w:val="nil"/>
              <w:insideH w:val="single" w:sz="6" w:space="0"/>
              <w:insideV w:val="nil"/>
              <w:tl2br w:val="nil"/>
              <w:tr2bl w:val="nil"/>
            </w:tcBorders>
          </w:tcPr>
          <w:p w14:paraId="68212E41">
            <w:r>
              <w:rPr>
                <w:rFonts w:hint="eastAsia" w:ascii="宋体" w:hAnsi="宋体" w:eastAsia="宋体" w:cs="宋体"/>
              </w:rPr>
              <w:t xml:space="preserve"> 特征 </w:t>
            </w:r>
          </w:p>
        </w:tc>
        <w:tc>
          <w:tcPr>
            <w:tcW w:w="1705" w:type="dxa"/>
            <w:tcBorders>
              <w:top w:val="single" w:color="auto" w:sz="12" w:space="0"/>
              <w:bottom w:val="single" w:color="auto" w:sz="6" w:space="0"/>
              <w:right w:val="nil"/>
              <w:insideH w:val="single" w:sz="6" w:space="0"/>
              <w:insideV w:val="nil"/>
              <w:tl2br w:val="nil"/>
              <w:tr2bl w:val="nil"/>
            </w:tcBorders>
          </w:tcPr>
          <w:p w14:paraId="6E087F0C">
            <w:r>
              <w:rPr>
                <w:rFonts w:hint="eastAsia" w:ascii="宋体" w:hAnsi="宋体" w:eastAsia="宋体" w:cs="宋体"/>
              </w:rPr>
              <w:t xml:space="preserve"> 重要性得分 </w:t>
            </w:r>
          </w:p>
        </w:tc>
      </w:tr>
      <w:tr w14:paraId="053197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71F0186C">
            <w:r>
              <w:rPr>
                <w:rFonts w:hint="eastAsia" w:ascii="宋体" w:hAnsi="宋体" w:eastAsia="宋体" w:cs="宋体"/>
              </w:rPr>
              <w:t xml:space="preserve"> 1 </w:t>
            </w:r>
          </w:p>
        </w:tc>
        <w:tc>
          <w:tcPr>
            <w:tcW w:w="1704" w:type="dxa"/>
          </w:tcPr>
          <w:p w14:paraId="69AF814C">
            <w:r>
              <w:rPr>
                <w:rFonts w:hint="eastAsia" w:ascii="宋体" w:hAnsi="宋体" w:eastAsia="宋体" w:cs="宋体"/>
              </w:rPr>
              <w:t xml:space="preserve"> 经济发展水平 </w:t>
            </w:r>
          </w:p>
        </w:tc>
        <w:tc>
          <w:tcPr>
            <w:tcW w:w="1705" w:type="dxa"/>
          </w:tcPr>
          <w:p w14:paraId="07A20DCF">
            <w:r>
              <w:rPr>
                <w:rFonts w:hint="eastAsia" w:ascii="宋体" w:hAnsi="宋体" w:eastAsia="宋体" w:cs="宋体"/>
              </w:rPr>
              <w:t xml:space="preserve"> 0.187 </w:t>
            </w:r>
          </w:p>
        </w:tc>
      </w:tr>
      <w:tr w14:paraId="17F96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1CA0061D">
            <w:r>
              <w:rPr>
                <w:rFonts w:hint="eastAsia" w:ascii="宋体" w:hAnsi="宋体" w:eastAsia="宋体" w:cs="宋体"/>
              </w:rPr>
              <w:t xml:space="preserve"> 2 </w:t>
            </w:r>
          </w:p>
        </w:tc>
        <w:tc>
          <w:tcPr>
            <w:tcW w:w="1704" w:type="dxa"/>
          </w:tcPr>
          <w:p w14:paraId="26800765">
            <w:r>
              <w:rPr>
                <w:rFonts w:hint="eastAsia" w:ascii="宋体" w:hAnsi="宋体" w:eastAsia="宋体" w:cs="宋体"/>
              </w:rPr>
              <w:t xml:space="preserve"> 财政支持力度 </w:t>
            </w:r>
          </w:p>
        </w:tc>
        <w:tc>
          <w:tcPr>
            <w:tcW w:w="1705" w:type="dxa"/>
          </w:tcPr>
          <w:p w14:paraId="1368082D">
            <w:r>
              <w:rPr>
                <w:rFonts w:hint="eastAsia" w:ascii="宋体" w:hAnsi="宋体" w:eastAsia="宋体" w:cs="宋体"/>
              </w:rPr>
              <w:t xml:space="preserve"> 0.152 </w:t>
            </w:r>
          </w:p>
        </w:tc>
      </w:tr>
      <w:tr w14:paraId="68316A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04E7FE88">
            <w:r>
              <w:rPr>
                <w:rFonts w:hint="eastAsia" w:ascii="宋体" w:hAnsi="宋体" w:eastAsia="宋体" w:cs="宋体"/>
              </w:rPr>
              <w:t xml:space="preserve"> 3 </w:t>
            </w:r>
          </w:p>
        </w:tc>
        <w:tc>
          <w:tcPr>
            <w:tcW w:w="1704" w:type="dxa"/>
          </w:tcPr>
          <w:p w14:paraId="70C9B8EE">
            <w:r>
              <w:rPr>
                <w:rFonts w:hint="eastAsia" w:ascii="宋体" w:hAnsi="宋体" w:eastAsia="宋体" w:cs="宋体"/>
              </w:rPr>
              <w:t xml:space="preserve"> 产业结构高级化 </w:t>
            </w:r>
          </w:p>
        </w:tc>
        <w:tc>
          <w:tcPr>
            <w:tcW w:w="1705" w:type="dxa"/>
          </w:tcPr>
          <w:p w14:paraId="50DC5702">
            <w:r>
              <w:rPr>
                <w:rFonts w:hint="eastAsia" w:ascii="宋体" w:hAnsi="宋体" w:eastAsia="宋体" w:cs="宋体"/>
              </w:rPr>
              <w:t xml:space="preserve"> 0.134 </w:t>
            </w:r>
          </w:p>
        </w:tc>
      </w:tr>
      <w:tr w14:paraId="25725E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2209D41F">
            <w:r>
              <w:rPr>
                <w:rFonts w:hint="eastAsia" w:ascii="宋体" w:hAnsi="宋体" w:eastAsia="宋体" w:cs="宋体"/>
              </w:rPr>
              <w:t xml:space="preserve"> 4 </w:t>
            </w:r>
          </w:p>
        </w:tc>
        <w:tc>
          <w:tcPr>
            <w:tcW w:w="1704" w:type="dxa"/>
          </w:tcPr>
          <w:p w14:paraId="790369B1">
            <w:r>
              <w:rPr>
                <w:rFonts w:hint="eastAsia" w:ascii="宋体" w:hAnsi="宋体" w:eastAsia="宋体" w:cs="宋体"/>
              </w:rPr>
              <w:t xml:space="preserve"> 城镇化率 </w:t>
            </w:r>
          </w:p>
        </w:tc>
        <w:tc>
          <w:tcPr>
            <w:tcW w:w="1705" w:type="dxa"/>
          </w:tcPr>
          <w:p w14:paraId="26110BB6">
            <w:r>
              <w:rPr>
                <w:rFonts w:hint="eastAsia" w:ascii="宋体" w:hAnsi="宋体" w:eastAsia="宋体" w:cs="宋体"/>
              </w:rPr>
              <w:t xml:space="preserve"> 0.109 </w:t>
            </w:r>
          </w:p>
        </w:tc>
      </w:tr>
      <w:tr w14:paraId="4908E1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5345970D">
            <w:r>
              <w:rPr>
                <w:rFonts w:hint="eastAsia" w:ascii="宋体" w:hAnsi="宋体" w:eastAsia="宋体" w:cs="宋体"/>
              </w:rPr>
              <w:t xml:space="preserve"> 5 </w:t>
            </w:r>
          </w:p>
        </w:tc>
        <w:tc>
          <w:tcPr>
            <w:tcW w:w="1704" w:type="dxa"/>
          </w:tcPr>
          <w:p w14:paraId="058DB453">
            <w:r>
              <w:rPr>
                <w:rFonts w:hint="eastAsia" w:ascii="宋体" w:hAnsi="宋体" w:eastAsia="宋体" w:cs="宋体"/>
              </w:rPr>
              <w:t xml:space="preserve"> 税负水平_lag1 </w:t>
            </w:r>
          </w:p>
        </w:tc>
        <w:tc>
          <w:tcPr>
            <w:tcW w:w="1705" w:type="dxa"/>
          </w:tcPr>
          <w:p w14:paraId="39A74DC8">
            <w:r>
              <w:rPr>
                <w:rFonts w:hint="eastAsia" w:ascii="宋体" w:hAnsi="宋体" w:eastAsia="宋体" w:cs="宋体"/>
              </w:rPr>
              <w:t xml:space="preserve"> 0.096 </w:t>
            </w:r>
          </w:p>
        </w:tc>
      </w:tr>
      <w:tr w14:paraId="1607DB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475FC1FE">
            <w:r>
              <w:rPr>
                <w:rFonts w:hint="eastAsia" w:ascii="宋体" w:hAnsi="宋体" w:eastAsia="宋体" w:cs="宋体"/>
              </w:rPr>
              <w:t xml:space="preserve"> 6 </w:t>
            </w:r>
          </w:p>
        </w:tc>
        <w:tc>
          <w:tcPr>
            <w:tcW w:w="1704" w:type="dxa"/>
          </w:tcPr>
          <w:p w14:paraId="792A02B7">
            <w:r>
              <w:rPr>
                <w:rFonts w:hint="eastAsia" w:ascii="宋体" w:hAnsi="宋体" w:eastAsia="宋体" w:cs="宋体"/>
              </w:rPr>
              <w:t xml:space="preserve"> 产业结构三产GDP </w:t>
            </w:r>
          </w:p>
        </w:tc>
        <w:tc>
          <w:tcPr>
            <w:tcW w:w="1705" w:type="dxa"/>
          </w:tcPr>
          <w:p w14:paraId="1535E93A">
            <w:r>
              <w:rPr>
                <w:rFonts w:hint="eastAsia" w:ascii="宋体" w:hAnsi="宋体" w:eastAsia="宋体" w:cs="宋体"/>
              </w:rPr>
              <w:t xml:space="preserve"> 0.082 </w:t>
            </w:r>
          </w:p>
        </w:tc>
      </w:tr>
      <w:tr w14:paraId="325F88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7BA88222">
            <w:r>
              <w:rPr>
                <w:rFonts w:hint="eastAsia" w:ascii="宋体" w:hAnsi="宋体" w:eastAsia="宋体" w:cs="宋体"/>
              </w:rPr>
              <w:t xml:space="preserve"> 7 </w:t>
            </w:r>
          </w:p>
        </w:tc>
        <w:tc>
          <w:tcPr>
            <w:tcW w:w="1704" w:type="dxa"/>
          </w:tcPr>
          <w:p w14:paraId="1F30C0C8">
            <w:r>
              <w:rPr>
                <w:rFonts w:hint="eastAsia" w:ascii="宋体" w:hAnsi="宋体" w:eastAsia="宋体" w:cs="宋体"/>
              </w:rPr>
              <w:t xml:space="preserve"> 对外开放程度 </w:t>
            </w:r>
          </w:p>
        </w:tc>
        <w:tc>
          <w:tcPr>
            <w:tcW w:w="1705" w:type="dxa"/>
          </w:tcPr>
          <w:p w14:paraId="5DC51F1E">
            <w:r>
              <w:rPr>
                <w:rFonts w:hint="eastAsia" w:ascii="宋体" w:hAnsi="宋体" w:eastAsia="宋体" w:cs="宋体"/>
              </w:rPr>
              <w:t xml:space="preserve"> 0.071 </w:t>
            </w:r>
          </w:p>
        </w:tc>
      </w:tr>
      <w:tr w14:paraId="6EBFDC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09695CE8">
            <w:r>
              <w:rPr>
                <w:rFonts w:hint="eastAsia" w:ascii="宋体" w:hAnsi="宋体" w:eastAsia="宋体" w:cs="宋体"/>
              </w:rPr>
              <w:t xml:space="preserve"> 8 </w:t>
            </w:r>
          </w:p>
        </w:tc>
        <w:tc>
          <w:tcPr>
            <w:tcW w:w="1704" w:type="dxa"/>
          </w:tcPr>
          <w:p w14:paraId="3333BC90">
            <w:r>
              <w:rPr>
                <w:rFonts w:hint="eastAsia" w:ascii="宋体" w:hAnsi="宋体" w:eastAsia="宋体" w:cs="宋体"/>
              </w:rPr>
              <w:t xml:space="preserve"> 金融发展水平 </w:t>
            </w:r>
          </w:p>
        </w:tc>
        <w:tc>
          <w:tcPr>
            <w:tcW w:w="1705" w:type="dxa"/>
          </w:tcPr>
          <w:p w14:paraId="0AD55E7D">
            <w:r>
              <w:rPr>
                <w:rFonts w:hint="eastAsia" w:ascii="宋体" w:hAnsi="宋体" w:eastAsia="宋体" w:cs="宋体"/>
              </w:rPr>
              <w:t xml:space="preserve"> 0.058 </w:t>
            </w:r>
          </w:p>
        </w:tc>
      </w:tr>
      <w:tr w14:paraId="65EFA6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523D123D">
            <w:r>
              <w:rPr>
                <w:rFonts w:hint="eastAsia" w:ascii="宋体" w:hAnsi="宋体" w:eastAsia="宋体" w:cs="宋体"/>
              </w:rPr>
              <w:t xml:space="preserve"> 9 </w:t>
            </w:r>
          </w:p>
        </w:tc>
        <w:tc>
          <w:tcPr>
            <w:tcW w:w="1704" w:type="dxa"/>
          </w:tcPr>
          <w:p w14:paraId="4A7BBEBD">
            <w:r>
              <w:rPr>
                <w:rFonts w:hint="eastAsia" w:ascii="宋体" w:hAnsi="宋体" w:eastAsia="宋体" w:cs="宋体"/>
              </w:rPr>
              <w:t xml:space="preserve"> 研发强度 </w:t>
            </w:r>
          </w:p>
        </w:tc>
        <w:tc>
          <w:tcPr>
            <w:tcW w:w="1705" w:type="dxa"/>
          </w:tcPr>
          <w:p w14:paraId="54CED271">
            <w:r>
              <w:rPr>
                <w:rFonts w:hint="eastAsia" w:ascii="宋体" w:hAnsi="宋体" w:eastAsia="宋体" w:cs="宋体"/>
              </w:rPr>
              <w:t xml:space="preserve"> 0.047 </w:t>
            </w:r>
          </w:p>
        </w:tc>
      </w:tr>
      <w:tr w14:paraId="31015F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14:paraId="58F517B9">
            <w:r>
              <w:rPr>
                <w:rFonts w:hint="eastAsia" w:ascii="宋体" w:hAnsi="宋体" w:eastAsia="宋体" w:cs="宋体"/>
              </w:rPr>
              <w:t xml:space="preserve"> 10 </w:t>
            </w:r>
          </w:p>
        </w:tc>
        <w:tc>
          <w:tcPr>
            <w:tcW w:w="1704" w:type="dxa"/>
          </w:tcPr>
          <w:p w14:paraId="2575F009">
            <w:r>
              <w:rPr>
                <w:rFonts w:hint="eastAsia" w:ascii="宋体" w:hAnsi="宋体" w:eastAsia="宋体" w:cs="宋体"/>
              </w:rPr>
              <w:t xml:space="preserve"> 人力资本水平 </w:t>
            </w:r>
          </w:p>
        </w:tc>
        <w:tc>
          <w:tcPr>
            <w:tcW w:w="1705" w:type="dxa"/>
          </w:tcPr>
          <w:p w14:paraId="73DF52FC">
            <w:r>
              <w:rPr>
                <w:rFonts w:hint="eastAsia" w:ascii="宋体" w:hAnsi="宋体" w:eastAsia="宋体" w:cs="宋体"/>
              </w:rPr>
              <w:t xml:space="preserve"> 0.036 </w:t>
            </w:r>
          </w:p>
        </w:tc>
      </w:tr>
    </w:tbl>
    <w:p w14:paraId="3F5BCD4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BF87F89">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96750D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特征重要性解读：</w:t>
      </w:r>
    </w:p>
    <w:p w14:paraId="3399929F">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46DF4E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经济发展水平是最重要的预测因子。这与经济学理论一致——经济发展水平越高的地区，经济总量越大，税基越宽，税收收入占GDP的比重通常也越高[2][3]。</w:t>
      </w:r>
    </w:p>
    <w:p w14:paraId="18CA57B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A85A7E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财政支持力度位列第二，反映了地方政府财政支出规模与税收收入之间的紧密关联。财政支出规模大的省份通常需要更强的税收能力作为支撑。</w:t>
      </w:r>
    </w:p>
    <w:p w14:paraId="5429719D">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1EBECEF">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产业结构高级化排名第三，说明产业结构的升级（从低附加值产业向高附加值产业转型）对税收贡献具有显著影响[4]。高新技术产业和现代服务业往往具有更高的税收产出效率。</w:t>
      </w:r>
    </w:p>
    <w:p w14:paraId="3EAFF82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3BEFBD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城镇化率和税负水平的滞后项分别位列第四和第五，表明城市化进程和税负的持续性特征也是重要的预测维度。</w:t>
      </w:r>
    </w:p>
    <w:p w14:paraId="56688936">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7399DCB">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5.4 模型对比分析</w:t>
      </w:r>
    </w:p>
    <w:p w14:paraId="613AB711">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8FF64E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三个模型的表现差异反映了不同建模策略的优劣：</w:t>
      </w:r>
    </w:p>
    <w:p w14:paraId="7B17F5A6">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2524CBC">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线性回归的局限在于其假设所有特征与目标变量之间为线性关系，且特征之间相互独立。然而，现实经济系统中，各因素之间往往存在复杂的非线性交互——例如，经济发展水平对税负的影响可能因产业结构的不同而呈现差异化特征[7]。</w:t>
      </w:r>
    </w:p>
    <w:p w14:paraId="54524A2E">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379246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随机森林的优势在于通过决策树的集成[5]，自动捕捉了这些非线性关系和交互效应。其“平均多棵树”的策略也增强了模型的稳定性，降低了过拟合风险。</w:t>
      </w:r>
    </w:p>
    <w:p w14:paraId="691F87A2">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970F98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XGBoost的进一步优势在于其梯度提升的串行学习机制[6]——每棵树专门针对前一棵树的残差进行拟合，使得模型能够逐步逼近真实的数据生成过程。此外，XGBoost的正则化项（L1/L2正则化）有效控制了模型复杂度，在预测精度和泛化能力之间取得了更好的平衡。</w:t>
      </w:r>
    </w:p>
    <w:p w14:paraId="53CBCE3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CC70AA2">
      <w:pPr>
        <w:snapToGrid/>
        <w:spacing w:beforeAutospacing="0" w:afterAutospacing="0" w:line="324" w:lineRule="auto"/>
        <w:ind w:left="0" w:leftChars="0" w:right="0" w:rightChars="0" w:firstLine="480" w:firstLineChars="200"/>
        <w:jc w:val="both"/>
        <w:rPr>
          <w:rFonts w:ascii="Times New Roman" w:hAnsi="宋体" w:eastAsia="宋体" w:cs="宋体"/>
          <w:sz w:val="24"/>
          <w:szCs w:val="28"/>
        </w:rPr>
      </w:pPr>
    </w:p>
    <w:p w14:paraId="5975FCA7">
      <w:pPr>
        <w:snapToGrid w:val="0"/>
        <w:spacing w:beforeAutospacing="0" w:afterAutospacing="0" w:line="324" w:lineRule="auto"/>
        <w:ind w:left="0" w:leftChars="0" w:right="0" w:rightChars="0" w:firstLine="0" w:firstLineChars="0"/>
        <w:jc w:val="center"/>
        <w:outlineLvl w:val="0"/>
        <w:rPr>
          <w:rFonts w:ascii="宋体" w:hAnsi="宋体" w:eastAsia="宋体" w:cs="宋体"/>
          <w:b w:val="0"/>
          <w:sz w:val="28"/>
          <w:szCs w:val="28"/>
        </w:rPr>
      </w:pPr>
      <w:r>
        <w:rPr>
          <w:rFonts w:hint="eastAsia" w:ascii="宋体" w:hAnsi="宋体" w:eastAsia="宋体" w:cs="宋体"/>
          <w:b w:val="0"/>
          <w:sz w:val="28"/>
          <w:szCs w:val="28"/>
        </w:rPr>
        <w:t>六、结论与改进讨论</w:t>
      </w:r>
    </w:p>
    <w:p w14:paraId="6199EA6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DC0D711">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6.1 模型性能总结</w:t>
      </w:r>
    </w:p>
    <w:p w14:paraId="33D269A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4603ABB">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本文基于中国31个省份2000—2024年的面板数据[1]，构建了线性回归、随机森林[5]和XGBoost[6]三种模型对税负水平进行预测。主要结论如下：</w:t>
      </w:r>
    </w:p>
    <w:p w14:paraId="5C975FE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2E1B89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（1）集成学习方法在税负水平预测中显著优于传统线性回归。XGBoost在测试集上的R²达到0.879，RMSE为0.00819，MAE为0.00593，预测精度达到较高水平。</w:t>
      </w:r>
    </w:p>
    <w:p w14:paraId="7388E656">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F6C9E2C">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经济发展水平、财政支持力度和产业结构高级化是影响税负水平的最重要因素[2][4]。这一发现与现有税收理论研究相一致，也为地方政府优化税收政策提供了实证依据——促进经济发展和推动产业结构升级是提升税收能力的根本途径。</w:t>
      </w:r>
    </w:p>
    <w:p w14:paraId="3CFEE2A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B40C0D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（3）税负水平具有较强的时序持续性（滞后项重要性排名第五），说明税收政策具有一定的路径依赖特征，历史税负水平对当前和未来税负具有显著的预测力。</w:t>
      </w:r>
    </w:p>
    <w:p w14:paraId="1DEC82D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629AD20">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6.2 模型局限性</w:t>
      </w:r>
    </w:p>
    <w:p w14:paraId="7166DD98">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1B9F552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本研究存在以下局限性：</w:t>
      </w:r>
    </w:p>
    <w:p w14:paraId="0E129264">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3FB45CD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第一，数据层面的局限。 虽然数据集覆盖了31个省份25年的数据，但部分早期年份的变量（如信息化水平）存在数据质量问题，可能影响模型的稳定性。此外，样本量仅为775条，对于复杂机器学习模型而言略显不足，可能影响模型的泛化能力。</w:t>
      </w:r>
    </w:p>
    <w:p w14:paraId="3E7664B7">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D98DB3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第二，特征覆盖的局限。 本文使用的特征主要聚焦于经济结构和财政变量，未能纳入税收优惠政策、征管效率、中央转移支付等制度性因素，这些因素在实际中对税负水平可能有重要影响。</w:t>
      </w:r>
    </w:p>
    <w:p w14:paraId="2D74127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1CEEBF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第三，方法层面的局限。 本文采用的是“预测”范式而非“因果推断”范式。虽然XGBoost在预测精度上表现优异，但其“黑箱”特性使得因果关系的识别较为困难。特征重要性分析只能揭示相关关系，不能直接推断因果关系。</w:t>
      </w:r>
    </w:p>
    <w:p w14:paraId="5CF6E15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5A984E5">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6.3 实际应用建议</w:t>
      </w:r>
    </w:p>
    <w:p w14:paraId="184CA4D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5BDF4F2">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基于研究结果，提出以下应用建议：</w:t>
      </w:r>
    </w:p>
    <w:p w14:paraId="36265B11">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7F2AD7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（1）税收政策制定可参考特征重要性排序。经济发展水平和产业结构是影响税负的核心因素[2][4]，地方政府应将提升经济发展质量和推动产业升级作为增强税收能力的长期战略。</w:t>
      </w:r>
    </w:p>
    <w:p w14:paraId="2AB9F190">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A51E82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（2）预测模型可作为财政风险评估的辅助工具。XGBoost模型可部署为监测系统，当某省份的实际税负水平与模型预测值出现较大偏离时，触发预警，提示可能存在经济结构异常或税收征管问题。</w:t>
      </w:r>
    </w:p>
    <w:p w14:paraId="11F8D55B">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6D3CC074">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（3）模型可为区域间税负比较提供基准。通过模型预测的“期望税负”与实际税负的对比，可以识别哪些省份的税负“异常高”或“异常低”，为税收政策的区域协调提供参考。</w:t>
      </w:r>
    </w:p>
    <w:p w14:paraId="7C43E28A">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CDEC2C3">
      <w:pPr>
        <w:snapToGrid/>
        <w:spacing w:beforeAutospacing="0" w:afterAutospacing="0" w:line="324" w:lineRule="auto"/>
        <w:ind w:left="0" w:leftChars="0" w:right="0" w:rightChars="0" w:firstLine="0" w:firstLineChars="0"/>
        <w:jc w:val="both"/>
        <w:outlineLvl w:val="1"/>
        <w:rPr>
          <w:rFonts w:ascii="Times New Roman" w:hAnsi="宋体" w:eastAsia="宋体" w:cs="宋体"/>
          <w:b w:val="0"/>
          <w:sz w:val="28"/>
        </w:rPr>
      </w:pPr>
      <w:r>
        <w:rPr>
          <w:rFonts w:hint="eastAsia" w:ascii="Times New Roman" w:hAnsi="宋体" w:eastAsia="宋体" w:cs="宋体"/>
          <w:b w:val="0"/>
          <w:sz w:val="28"/>
        </w:rPr>
        <w:t>6.4 未来改进方向</w:t>
      </w:r>
    </w:p>
    <w:p w14:paraId="6D257643">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5F3FEE87">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未来研究可从以下方向深化：</w:t>
      </w:r>
    </w:p>
    <w:p w14:paraId="476D033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5065435">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（1）引入更多维度的特征。如税收优惠政策变量、中央转移支付数据、税收征管效率指标等，以提升模型的解释力和预测精度。</w:t>
      </w:r>
    </w:p>
    <w:p w14:paraId="0E5EFE52">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529FC8A">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（2）尝试深度学习方法。考虑到面板数据兼具时间维度和横截面维度，可尝试使用LSTM（长短期记忆网络）或Transformer等时序模型，捕捉税负水平的动态演化特征。</w:t>
      </w:r>
    </w:p>
    <w:p w14:paraId="5F45E95A">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29606506">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（3）引入因果推断方法。在预测基础上，可进一步采用双重机器学习（Double Machine Learning）等方法，识别各因素对税负水平的因果效应。</w:t>
      </w:r>
    </w:p>
    <w:p w14:paraId="204F1D41">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7E07E2A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（4）扩展至更细颗粒度。当前研究基于省级数据，未来可拓展至地市级甚至区县级，以揭示更精细的区域税负差异格局。</w:t>
      </w:r>
    </w:p>
    <w:p w14:paraId="58569BBC">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4EC3CEA5">
      <w:pPr>
        <w:snapToGrid/>
        <w:spacing w:beforeAutospacing="0" w:afterAutospacing="0" w:line="324" w:lineRule="auto"/>
        <w:ind w:left="0" w:leftChars="0" w:right="0" w:rightChars="0" w:firstLine="480" w:firstLineChars="200"/>
        <w:jc w:val="both"/>
        <w:rPr>
          <w:rFonts w:ascii="Times New Roman" w:hAnsi="宋体" w:eastAsia="宋体" w:cs="宋体"/>
          <w:sz w:val="24"/>
        </w:rPr>
      </w:pPr>
    </w:p>
    <w:p w14:paraId="05C839F7">
      <w:pPr>
        <w:snapToGrid/>
        <w:spacing w:beforeAutospacing="0" w:afterAutospacing="0" w:line="324" w:lineRule="auto"/>
        <w:ind w:left="0" w:leftChars="0" w:right="0" w:rightChars="0" w:firstLine="0" w:firstLineChars="0"/>
        <w:jc w:val="center"/>
        <w:rPr>
          <w:rFonts w:ascii="宋体" w:hAnsi="宋体" w:eastAsia="宋体" w:cs="宋体"/>
          <w:b w:val="0"/>
          <w:sz w:val="28"/>
        </w:rPr>
      </w:pPr>
      <w:r>
        <w:rPr>
          <w:rFonts w:hint="eastAsia" w:ascii="宋体" w:hAnsi="宋体" w:eastAsia="宋体" w:cs="宋体"/>
          <w:b w:val="0"/>
          <w:sz w:val="28"/>
        </w:rPr>
        <w:t>参考文献</w:t>
      </w:r>
    </w:p>
    <w:p w14:paraId="69143F83">
      <w:pPr>
        <w:rPr>
          <w:rFonts w:ascii="宋体" w:hAnsi="宋体" w:eastAsia="宋体" w:cs="宋体"/>
          <w:sz w:val="24"/>
        </w:rPr>
      </w:pPr>
    </w:p>
    <w:p w14:paraId="76A2FC87">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[1] 国家统计局. 中国统计年鉴[M]. 北京: 中国统计出版社, 20002024.</w:t>
      </w:r>
    </w:p>
    <w:p w14:paraId="014F8243">
      <w:pPr>
        <w:rPr>
          <w:rFonts w:ascii="宋体" w:hAnsi="宋体" w:eastAsia="宋体" w:cs="宋体"/>
          <w:sz w:val="24"/>
        </w:rPr>
      </w:pPr>
    </w:p>
    <w:p w14:paraId="14787DA8">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[2] 吕冰洋, 郭庆旺. 中国税收高速增长的源泉: 税收能力和税收努力框架下的解释[J]. 管理世界, 2011(2): 4556.</w:t>
      </w:r>
    </w:p>
    <w:p w14:paraId="765BA256">
      <w:pPr>
        <w:rPr>
          <w:rFonts w:ascii="宋体" w:hAnsi="宋体" w:eastAsia="宋体" w:cs="宋体"/>
          <w:sz w:val="24"/>
        </w:rPr>
      </w:pPr>
    </w:p>
    <w:p w14:paraId="040D0171">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[3] 高培勇, 毛捷, 杨志勇. 中国宏观税负水平的测度与评价[J]. 经济研究, 2015, 50(6): 417.</w:t>
      </w:r>
    </w:p>
    <w:p w14:paraId="2413AF0B">
      <w:pPr>
        <w:rPr>
          <w:rFonts w:ascii="宋体" w:hAnsi="宋体" w:eastAsia="宋体" w:cs="宋体"/>
          <w:sz w:val="24"/>
        </w:rPr>
      </w:pPr>
    </w:p>
    <w:p w14:paraId="42A499E9">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[4] 李涛, 刘天文. 产业结构升级对税收收入的影响——基于省级面板数据的实证研究[J]. 财贸经济, 2018, 39(3): 2033.</w:t>
      </w:r>
    </w:p>
    <w:p w14:paraId="48DD2CF2">
      <w:pPr>
        <w:rPr>
          <w:rFonts w:ascii="宋体" w:hAnsi="宋体" w:eastAsia="宋体" w:cs="宋体"/>
          <w:sz w:val="24"/>
        </w:rPr>
      </w:pPr>
    </w:p>
    <w:p w14:paraId="62EA3D00">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[5] Breiman L. Random forests[J]. Machine Learning, 2001, 45(1): 532.</w:t>
      </w:r>
    </w:p>
    <w:p w14:paraId="106A4705">
      <w:pPr>
        <w:rPr>
          <w:rFonts w:ascii="宋体" w:hAnsi="宋体" w:eastAsia="宋体" w:cs="宋体"/>
          <w:sz w:val="24"/>
        </w:rPr>
      </w:pPr>
    </w:p>
    <w:p w14:paraId="686BF40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[6] Chen T, Guestrin C. XGBoost: A scalable tree boosting system[C]//Proceedings of the 22nd ACM SIGKDD International Conference on Knowledge Discovery and Data Mining. New York: ACM, 2016: 785794.</w:t>
      </w:r>
    </w:p>
    <w:p w14:paraId="5C01550D">
      <w:pPr>
        <w:rPr>
          <w:rFonts w:ascii="宋体" w:hAnsi="宋体" w:eastAsia="宋体" w:cs="宋体"/>
          <w:sz w:val="24"/>
        </w:rPr>
      </w:pPr>
    </w:p>
    <w:p w14:paraId="5D27E643">
      <w:pPr>
        <w:snapToGrid/>
        <w:spacing w:beforeAutospacing="0" w:afterAutospacing="0" w:line="324" w:lineRule="auto"/>
        <w:ind w:left="0" w:leftChars="0" w:right="0" w:rightChars="0" w:firstLine="480" w:firstLineChars="200"/>
        <w:jc w:val="both"/>
        <w:rPr>
          <w:rFonts w:ascii="Times New Roman" w:hAnsi="宋体" w:eastAsia="宋体" w:cs="宋体"/>
          <w:sz w:val="24"/>
        </w:rPr>
      </w:pPr>
      <w:r>
        <w:rPr>
          <w:rFonts w:hint="eastAsia" w:ascii="Times New Roman" w:hAnsi="宋体" w:eastAsia="宋体" w:cs="宋体"/>
          <w:sz w:val="24"/>
        </w:rPr>
        <w:t>[7] Friedman J H. Greedy function approximation: a gradient boosting machine[J]. The Annals of Statistics, 2001, 29(5): 11891232.</w:t>
      </w:r>
    </w:p>
    <w:p w14:paraId="293860B8">
      <w:pPr>
        <w:rPr>
          <w:rFonts w:ascii="宋体" w:hAnsi="宋体" w:eastAsia="宋体" w:cs="宋体"/>
          <w:sz w:val="24"/>
        </w:rPr>
      </w:pPr>
    </w:p>
    <w:p w14:paraId="34D6CACD">
      <w:pPr>
        <w:rPr>
          <w:rFonts w:ascii="宋体" w:hAnsi="宋体" w:eastAsia="宋体" w:cs="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ABE"/>
    <w:rsid w:val="001D2162"/>
    <w:rsid w:val="004A7FC9"/>
    <w:rsid w:val="006723C3"/>
    <w:rsid w:val="009B6873"/>
    <w:rsid w:val="00AE7ABE"/>
    <w:rsid w:val="5BC04B88"/>
    <w:rsid w:val="6FFA2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6">
    <w:name w:val="样式1"/>
    <w:basedOn w:val="3"/>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6234</Words>
  <Characters>7664</Characters>
  <Lines>407</Lines>
  <Paragraphs>353</Paragraphs>
  <TotalTime>56</TotalTime>
  <ScaleCrop>false</ScaleCrop>
  <LinksUpToDate>false</LinksUpToDate>
  <CharactersWithSpaces>8217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2026-06-17T01:49:00Z</dcterms:created>
  <dc:creator>admxc</dc:creator>
  <cp:lastModifiedBy>安洛殇</cp:lastModifiedBy>
  <dcterms:modified xsi:type="dcterms:W3CDTF">2026-06-17T02:47:12Z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eyJoZGlkIjoiNTU0ZmIwYTQ3NzlmZGUxZmU3Zjk0M2IyZTNmM2IxNjAiLCJ1c2VySWQiOiIxMjMwODU2MTgxIn0=</vt:lpwstr>
  </property>
  <property fmtid="{D5CDD505-2E9C-101B-9397-08002B2CF9AE}" pid="4" name="ICV">
    <vt:lpwstr>914D57D288824CA6853AC91FBB90A7CE_12</vt:lpwstr>
  </property>
</Properties>
</file>