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2E75B6"/>
          <w:sz w:val="28"/>
          <w:szCs w:val="28"/>
        </w:rPr>
        <w:t xml:space="preserve">intermediary-cloud</w:t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保险中介平台  AI 能力建设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产品需求规格说明书（PRD）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ins-ai 模块  V1.1  增补版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新增内容：车险 AI 报价 / 车险车主风险 / 非车险投保人风险 / 寿险投保人风险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编制日期：2026年3月（增补）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一、文档说明</w:t>
      </w:r>
    </w:p>
    <w:p>
      <w:pPr>
        <w:pStyle w:val="Heading2"/>
      </w:pPr>
      <w:r>
        <w:t xml:space="preserve">1.1 编写目的</w:t>
      </w:r>
    </w:p>
    <w:p>
      <w:pPr>
        <w:spacing w:after="160"/>
      </w:pPr>
      <w:r>
        <w:rPr>
          <w:sz w:val="22"/>
          <w:szCs w:val="22"/>
        </w:rPr>
        <w:t xml:space="preserve">本文档面向 intermediary-cloud 保险中介平台的产品经理、技术架构师、前后端开发工程师及测试工程师，系统描述平台 AI 能力建设的完整需求。文档以五份行业权威报告（KPMG、新华评级、智能体落地路线图、阳光保险大模型白皮书、凯捷研究院）的核心结论为依据，结合平台三端产品形态（B 端销售员 App / PC 管理后台 / C 端商城），定义各 AI 功能的业务边界、交互逻辑、数据模型与技术实现路径。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首版发布，覆盖 MaaS / RAG 客服 / 知识库 / 健康预筛 / OCR / 销售话术 / 流失预警 / 双录质检 / 保障规划 / 审计日志共 16 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2026-03（增补）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新增第17-21章：车险 AI 智能报价、车险 AI 车主风险分析、非车险 AI 投保人风险分析、寿险 AI 投保人风险分析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1.3 文档范围</w:t>
      </w:r>
    </w:p>
    <w:p>
      <w:pPr>
        <w:spacing w:after="160"/>
      </w:pPr>
      <w:r>
        <w:rPr>
          <w:sz w:val="22"/>
          <w:szCs w:val="22"/>
        </w:rPr>
        <w:t xml:space="preserve">V1.1 版本 PRD 覆盖 ins-ai 微服务模块全部 AI 功能，共 20 项功能模块：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【V1.0】RAG 智能客服 / 保险知识库 / 健康告知智能预筛 / AI 销售话术辅助 / 客户流失预警 / OCR 单证识别 / 合规双录 AI 质检 / C 端 AI 保障规划 / MaaS 统一网关 / AI 决策审计日志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【V1.1 新增】车险 AI 智能报价 / 车险 AI 车主风险分析 / 非车险 AI 投保人风险分析 / 寿险 AI 投保人风险分析</w:t>
      </w:r>
    </w:p>
    <w:p>
      <w:r>
        <w:br w:type="page"/>
      </w:r>
    </w:p>
    <w:p>
      <w:pPr>
        <w:pStyle w:val="Heading1"/>
      </w:pPr>
      <w:r>
        <w:t xml:space="preserve">二至十六章（V1.0 既有内容）</w:t>
      </w:r>
    </w:p>
    <w:p>
      <w:pPr>
        <w:spacing w:after="160"/>
      </w:pPr>
      <w:r>
        <w:rPr>
          <w:sz w:val="22"/>
          <w:szCs w:val="22"/>
        </w:rPr>
        <w:t xml:space="preserve">以下章节内容同 V1.0 版本 PRD，请参阅 ins-ai-PRD-V1.0.docx，此处仅列章节目录供索引：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第二章  AI 能力整体规划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第三章  统一大模型服务网关（MaaS）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第四章  RAG 智能客服系统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第五章  保险知识库管理平台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第六章  健康告知智能预筛（AI 核保辅助）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第七章  OCR 智能单证识别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第八章  AI 销售话术辅助（B 端 App）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第九章  客户流失预警模型（CRM）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第十章  合规双录 AI 质检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第十一章  C 端 AI 保障规划（需求诊断 + 保障雷达）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第十二章  AI 决策审计日志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第十三章  技术实现与集成规范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第十四章  开发排期建议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第十五章  验收标准与监控指标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第十六章  风险与应对策略</w:t>
      </w:r>
    </w:p>
    <w:p>
      <w:r>
        <w:br w:type="page"/>
      </w:r>
    </w:p>
    <w:p>
      <w:pPr>
        <w:pStyle w:val="Heading1"/>
      </w:pPr>
      <w:r>
        <w:t xml:space="preserve">十七、车险 AI 智能报价系统</w:t>
      </w:r>
    </w:p>
    <w:p>
      <w:pPr>
        <w:pStyle w:val="Heading2"/>
      </w:pPr>
      <w:r>
        <w:t xml:space="preserve">17.1 业务背景与目标</w:t>
      </w:r>
    </w:p>
    <w:p>
      <w:pPr>
        <w:spacing w:after="160"/>
      </w:pPr>
      <w:r>
        <w:rPr>
          <w:sz w:val="22"/>
          <w:szCs w:val="22"/>
        </w:rPr>
        <w:t xml:space="preserve">车险是财产险最大险种，NCD（无赔款优待系数）改革深化后，差异化定价成为核心竞争力（新华评级 2026 展望）。传统车险报价依赖人工填写车牌 + 验证码查询，流程繁琐，到手报价需 3-5 分钟。中国人寿"小财"大模型上线后，车险报价准确率达 98%，报价效率提升 90%，是成熟可落地的 AI 应用场景。</w:t>
      </w:r>
    </w:p>
    <w:p>
      <w:pPr>
        <w:spacing w:after="160"/>
      </w:pPr>
      <w:r>
        <w:rPr>
          <w:sz w:val="22"/>
          <w:szCs w:val="22"/>
        </w:rPr>
        <w:t xml:space="preserve">本模块目标：B 端 App 和 C 端商城均实现车险"一键 AI 报价"——用户输入车牌号，AI 自动完成车辆信息识别 + 历史出险查询 + 保费试算 + 多方案对比，全流程不超过 30 秒。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17.2 核心功能设计</w:t>
      </w:r>
    </w:p>
    <w:p>
      <w:pPr>
        <w:pStyle w:val="Heading3"/>
      </w:pPr>
      <w:r>
        <w:t xml:space="preserve">17.2.1 车辆信息智能识别</w:t>
      </w:r>
    </w:p>
    <w:p>
      <w:pPr>
        <w:spacing w:after="160"/>
      </w:pPr>
      <w:r>
        <w:rPr>
          <w:sz w:val="22"/>
          <w:szCs w:val="22"/>
        </w:rPr>
        <w:t xml:space="preserve">支持三种录入方式，AI 自动识别并回填车辆信息：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行驶证 OCR 识别：拍摄行驶证，自动提取车牌号、车架号（VIN）、发动机号、品牌车型、座位数、核载质量、登记日期。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车牌号直接输入：输入车牌后调用平台接入的车辆信息查询接口（交管数据或保险行业数据中台），自动补全车辆信息。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VIN 码识别：扫描车辆 VIN 码，自动解析品牌、车型、排量、生产年份。</w:t>
      </w:r>
    </w:p>
    <w:p>
      <w:pPr>
        <w:spacing w:after="160"/>
      </w:pPr>
      <w:r>
        <w:rPr>
          <w:sz w:val="22"/>
          <w:szCs w:val="22"/>
        </w:rPr>
        <w:t xml:space="preserve">识别完成后，AI 对以下关键字段进行合理性校验：登记年份与车龄是否一致、座位数与车型是否匹配、VIN 码格式校验（17 位、无 I/O/Q）。校验失败字段以红色标注，提示用户确认。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17.2.2 AI 报价试算引擎</w:t>
      </w:r>
    </w:p>
    <w:p>
      <w:pPr>
        <w:spacing w:after="160"/>
      </w:pPr>
      <w:r>
        <w:rPr>
          <w:sz w:val="22"/>
          <w:szCs w:val="22"/>
        </w:rPr>
        <w:t xml:space="preserve">调用平台统一保费计算服务（premium-calc-service），AI 自动完成以下步骤：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基础信息采集确认：车辆信息、被保险人信息、上年险种配置（交强险 + 商业险）。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NCD 系数自动获取：通过车牌+证件号查询历史 3 年出险记录，自动计算 NCD 折扣系数（0.7 ~ 1.3）。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风险评分预算：根据车型、车龄、驾驶人年龄、历史出险次数、常驻地等维度，AI 计算风险评分（见 17.3 节），并映射至费率调整系数。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多方案智能生成：AI 自动生成 3 套方案（基础版 / 标准版 / 全保版），每套方案包含险种配置清单、保额建议、年度总保费。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方案差异可视化：三套方案以对比表格呈现，重要保障覆盖差异以绿色对号 / 红色叉号直观标注。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17.2.3 智能险种配置建议</w:t>
      </w:r>
    </w:p>
    <w:p>
      <w:pPr>
        <w:spacing w:after="160"/>
      </w:pPr>
      <w:r>
        <w:rPr>
          <w:sz w:val="22"/>
          <w:szCs w:val="22"/>
        </w:rPr>
        <w:t xml:space="preserve">AI 根据车辆信息和用户画像，给出个性化险种配置建议理由，例如：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高龄车（&gt; 8 年）建议不购买车损险（残值低，理赔收益有限），AI 主动说明原因。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新能源车建议增加三电系统险（电池 / 电机 / 电控），AI 标注市场最高赔付案例作为参考。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新手驾驶人建议增加不计免赔特约险，AI 预估首年可节省理赔自付费用。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有划痕出险记录的车辆，AI 提示车身划痕险性价比分析（历史赔付率 vs 保费成本）。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17.2.4 续保智能比价</w:t>
      </w:r>
    </w:p>
    <w:p>
      <w:pPr>
        <w:spacing w:after="160"/>
      </w:pPr>
      <w:r>
        <w:rPr>
          <w:sz w:val="22"/>
          <w:szCs w:val="22"/>
        </w:rPr>
        <w:t xml:space="preserve">针对续保场景，AI 自动拉取上年保单信息，完成：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上年保费 vs 本年报价对比，差异超 15% 自动触发原因解析（NCD 变化 / 费率调整 / 险种变更）。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跨险企报价对比（需接入合作险企 API），AI 生成综合性价比评分（保费 / 保障 / 服务），推荐最优方案。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续保提醒推送：到期前 30/15/7 天分别推送 AI 生成的个性化续保提醒文案。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17.3 技术实现规范</w:t>
      </w:r>
    </w:p>
    <w:p>
      <w:pPr>
        <w:pStyle w:val="Heading3"/>
      </w:pPr>
      <w:r>
        <w:t xml:space="preserve">17.3.1 报价流程时序</w:t>
      </w:r>
    </w:p>
    <w:p>
      <w:pPr>
        <w:spacing w:after="160"/>
      </w:pPr>
      <w:r>
        <w:rPr>
          <w:sz w:val="22"/>
          <w:szCs w:val="22"/>
        </w:rPr>
        <w:t xml:space="preserve">前端 App → 1. OCR 识别 / 车牌输入 → 2. 车辆信息接口查询 → 3. NCD 查询接口 → 4. premium-calc-service 费率计算 → 5. AI 方案生成 → 6. 前端方案展示。全链路目标响应时间 &lt; 30 秒，其中 AI 方案生成步骤 &lt; 3 秒。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17.3.2 险种配置参数表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险种名称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基础版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标准版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全保版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交强险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机动车损失险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含（车价60%限额）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含（车价100%）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第三者责任险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车上人员责任险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驾驶人 5 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驾驶人+乘客 10 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驾驶人+乘客 20 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盗抢险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不计免赔特约险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含（损失险）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含（损失险+三者）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玻璃单独破碎险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含（国产玻璃）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含（进口玻璃）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涉水险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推荐（按地区）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17.4 数据库设计</w:t>
      </w:r>
    </w:p>
    <w:p>
      <w:pPr>
        <w:pStyle w:val="Heading3"/>
      </w:pPr>
      <w:r>
        <w:t xml:space="preserve">ai_car_quote（车险 AI 报价记录表）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报价记录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发起用户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 端 / 2 B 端代理人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plate_no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车牌号（加密存储）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 码（加密存储）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车辆信息快照（品牌、车型、年份、座位数等）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ncd_coefficient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decimal(4,2)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NCD 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车主风险评分（1-100）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生成的三套方案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推荐方案序号（1/2/3）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selected_plan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用户最终选择方案（可空）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quote_expire_time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报价有效期（通常 72 小时）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17.5 API 设计</w:t>
      </w:r>
    </w:p>
    <w:p>
      <w:pPr>
        <w:spacing w:after="160"/>
      </w:pPr>
      <w:r>
        <w:rPr>
          <w:sz w:val="22"/>
          <w:szCs w:val="22"/>
        </w:rPr>
        <w:t xml:space="preserve">POST /api/ai/car-quote/ocr-vehicle — 行驶证 OCR 识别车辆信息</w:t>
      </w:r>
    </w:p>
    <w:p>
      <w:pPr>
        <w:spacing w:after="160"/>
      </w:pPr>
      <w:r>
        <w:rPr>
          <w:sz w:val="22"/>
          <w:szCs w:val="22"/>
        </w:rPr>
        <w:t xml:space="preserve">POST /api/ai/car-quote/query-vehicle — 车牌号/VIN 查询车辆信息</w:t>
      </w:r>
    </w:p>
    <w:p>
      <w:pPr>
        <w:spacing w:after="160"/>
      </w:pPr>
      <w:r>
        <w:rPr>
          <w:sz w:val="22"/>
          <w:szCs w:val="22"/>
        </w:rPr>
        <w:t xml:space="preserve">POST /api/ai/car-quote/generate — 生成 AI 报价方案（含风险评分）</w:t>
      </w:r>
    </w:p>
    <w:p>
      <w:pPr>
        <w:spacing w:after="160"/>
      </w:pPr>
      <w:r>
        <w:rPr>
          <w:sz w:val="22"/>
          <w:szCs w:val="22"/>
        </w:rPr>
        <w:t xml:space="preserve">GET /api/ai/car-quote/{id} — 获取报价详情</w:t>
      </w:r>
    </w:p>
    <w:p>
      <w:pPr>
        <w:spacing w:after="160"/>
      </w:pPr>
      <w:r>
        <w:rPr>
          <w:sz w:val="22"/>
          <w:szCs w:val="22"/>
        </w:rPr>
        <w:t xml:space="preserve">POST /api/ai/car-quote/{id}/select — 用户选择方案，转入投保流程</w:t>
      </w:r>
    </w:p>
    <w:p>
      <w:r>
        <w:br w:type="page"/>
      </w:r>
    </w:p>
    <w:p>
      <w:pPr>
        <w:pStyle w:val="Heading1"/>
      </w:pPr>
      <w:r>
        <w:t xml:space="preserve">十八、车险 AI 车主风险分析</w:t>
      </w:r>
    </w:p>
    <w:p>
      <w:pPr>
        <w:pStyle w:val="Heading2"/>
      </w:pPr>
      <w:r>
        <w:t xml:space="preserve">18.1 功能概述</w:t>
      </w:r>
    </w:p>
    <w:p>
      <w:pPr>
        <w:spacing w:after="160"/>
      </w:pPr>
      <w:r>
        <w:rPr>
          <w:sz w:val="22"/>
          <w:szCs w:val="22"/>
        </w:rPr>
        <w:t xml:space="preserve">基于 KPMG 蓝图"实时风险评估"和大模型白皮书"分析型智能体"的核心场景定义，车险 AI 车主风险分析模块对每位投保人/被保险人进行多维度风险画像，输出综合风险评分（1-100 分，分越高风险越高）。风险评分应用于：差异化费率计算、核保辅助决策、理赔反欺诈、存量客户续保预警。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18.2 风险维度设计</w:t>
      </w:r>
    </w:p>
    <w:p>
      <w:pPr>
        <w:pStyle w:val="Heading3"/>
      </w:pPr>
      <w:r>
        <w:t xml:space="preserve">18.2.1 驾驶人风险维度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权重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高风险特征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驾驶年限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驾驶证登记日期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驾龄 &lt; 3 年为新手，高风险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年龄风险段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证件信息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18-25 岁、&gt;65 岁属于高风险年龄段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历史出险次数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保险行业数据中台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 3 年出险 ≥ 3 次显著提升风险分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出险严重程度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历史理赔记录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含人伤事故、全损记录权重更高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违章记录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交管数据接口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闯红灯、超速、醉驾等严重违章高权重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职业风险系数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投保人声明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网约车司机/货运司机风险高于普通私家车主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多车多险标志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平台保单数据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同一人名下多次出险不同车辆，疑似代驾情形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异常投保行为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平台行为日志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临近出险密集投保、短期内频繁更换投保险企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18.2.2 车辆风险维度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行驶证/VIN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车龄 &gt; 10 年机械故障风险上升，&gt; 15 年为高风险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车辆残值率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市场价值估算模型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残值率越低，车损险赔付性价比越低，欺诈动机越高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历史事故次数（车辆）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行业数据中台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同一 VIN 历史出险次数，高于均值 2 倍即高风险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改装记录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车管所数据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非法改装影响保险效力，需标注提示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车辆用途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行驶证/申报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营运车 vs 非营运车差异化费率，申报不实高风险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停放区域风险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被保险人地址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高盗抢区域停放，参考公安盗抢统计数据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18.2.3 风险评分计算公式</w:t>
      </w:r>
    </w:p>
    <w:p>
      <w:pPr>
        <w:spacing w:after="160"/>
      </w:pPr>
      <w:r>
        <w:rPr>
          <w:sz w:val="22"/>
          <w:szCs w:val="22"/>
        </w:rPr>
        <w:t xml:space="preserve">综合风险评分（Risk Score）= Σ(维度分 × 权重) × 场景调整系数</w:t>
      </w:r>
    </w:p>
    <w:p>
      <w:pPr>
        <w:spacing w:after="160"/>
      </w:pPr>
      <w:r>
        <w:rPr>
          <w:sz w:val="22"/>
          <w:szCs w:val="22"/>
        </w:rPr>
        <w:t xml:space="preserve">其中场景调整系数：新能源车 ×1.05（三电风险）；网约车 ×1.3（高频使用）；豪华车（车价 &gt; 60 万）×1.1。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风险评分区间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费率调整建议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低风险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~ 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标准费率 × 0.85 ~ 1.0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直接出单，可提供 NCD 优惠提示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中风险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 ~ 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标准费率 × 1.0 ~ 1.2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标准核保，提示用户高风险因素，建议完善险种配置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高风险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 ~ 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标准费率 × 1.2 ~ 1.5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需提交上传驾驶证等补充材料，人工核保介入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拒保预警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86 ~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建议拒保或极高费率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自动标记异常，提交人工核保专岗，系统发出拒保建议（最终决策须人工确认）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18.3 风险报告展示（PC 后台 / B 端）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PC 后台核保工作台：展示车主风险评分雷达图（驾驶人 + 车辆双维度），高风险维度自动高亮并给出解读说明。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 端代理人 App：在报价结果页展示简版风险提示卡（低/中/高三级），代理人可据此调整险种推荐策略。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风险评分历史趋势：若同一车主多次投保，展示历史风险评分变化趋势，为续保定价提供依据。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18.4 反欺诈联动</w:t>
      </w:r>
    </w:p>
    <w:p>
      <w:pPr>
        <w:spacing w:after="160"/>
      </w:pPr>
      <w:r>
        <w:rPr>
          <w:sz w:val="22"/>
          <w:szCs w:val="22"/>
        </w:rPr>
        <w:t xml:space="preserve">当风险评分 &gt; 75 且存在以下任一异常信号时，自动触发反欺诈预警，推送给反欺诈专岗：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出险时间集中在深夜（0-5 点）：概率显著高于正常出险时间分布。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事故地点与日常停车地相距 &gt; 50 公里：疑似异地碰瓷。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短期内（30 天内）多次报案：超出统计均值 3 倍以上。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出险维修选择指定修理厂且已被标记为高风险合作商。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18.5 数据库设计</w:t>
      </w:r>
    </w:p>
    <w:p>
      <w:pPr>
        <w:pStyle w:val="Heading3"/>
      </w:pPr>
      <w:r>
        <w:t xml:space="preserve">ai_car_risk_profile（车主风险档案表）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档案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被保险人 ID（关联 ins-agent 或 C 端用户）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plate_no_hash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车牌号 SHA-256 哈希（用于检索，不存明文）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驾驶人风险分（1-100）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车辆风险分（1-100）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综合风险评分（加权合并）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低 / 2 中 / 3 高 / 4 拒保预警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各维度评分明细及权重贡献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fraud_flag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正常 / 1 疑似欺诈（已触发预警）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使用的风险模型版本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评分时间（每次投保/续保更新）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18.6 API 设计</w:t>
      </w:r>
    </w:p>
    <w:p>
      <w:pPr>
        <w:spacing w:after="160"/>
      </w:pPr>
      <w:r>
        <w:rPr>
          <w:sz w:val="22"/>
          <w:szCs w:val="22"/>
        </w:rPr>
        <w:t xml:space="preserve">POST /api/ai/car-risk/evaluate — 执行车主风险评分（投保/续保时触发）</w:t>
      </w:r>
    </w:p>
    <w:p>
      <w:pPr>
        <w:spacing w:after="160"/>
      </w:pPr>
      <w:r>
        <w:rPr>
          <w:sz w:val="22"/>
          <w:szCs w:val="22"/>
        </w:rPr>
        <w:t xml:space="preserve">GET /api/ai/car-risk/profile/{insuredId} — 获取车主风险档案</w:t>
      </w:r>
    </w:p>
    <w:p>
      <w:pPr>
        <w:spacing w:after="160"/>
      </w:pPr>
      <w:r>
        <w:rPr>
          <w:sz w:val="22"/>
          <w:szCs w:val="22"/>
        </w:rPr>
        <w:t xml:space="preserve">GET /api/ai/car-risk/fraud-alert/list — 欺诈预警列表（PC 后台）</w:t>
      </w:r>
    </w:p>
    <w:p>
      <w:pPr>
        <w:spacing w:after="160"/>
      </w:pPr>
      <w:r>
        <w:rPr>
          <w:sz w:val="22"/>
          <w:szCs w:val="22"/>
        </w:rPr>
        <w:t xml:space="preserve">POST /api/ai/car-risk/fraud-alert/{id}/confirm — 人工确认/驳回欺诈预警</w:t>
      </w:r>
    </w:p>
    <w:p>
      <w:r>
        <w:br w:type="page"/>
      </w:r>
    </w:p>
    <w:p>
      <w:pPr>
        <w:pStyle w:val="Heading1"/>
      </w:pPr>
      <w:r>
        <w:t xml:space="preserve">十九、非车险 AI 投保人风险分析</w:t>
      </w:r>
    </w:p>
    <w:p>
      <w:pPr>
        <w:pStyle w:val="Heading2"/>
      </w:pPr>
      <w:r>
        <w:t xml:space="preserve">19.1 业务背景</w:t>
      </w:r>
    </w:p>
    <w:p>
      <w:pPr>
        <w:spacing w:after="160"/>
      </w:pPr>
      <w:r>
        <w:rPr>
          <w:sz w:val="22"/>
          <w:szCs w:val="22"/>
        </w:rPr>
        <w:t xml:space="preserve">非车险覆盖财产险、责任险、企业财产险、货运险、工程险、农业险等多险种，投保人背景差异极大，传统核保依赖人工逐项审核，效率低且一致性差。大模型白皮书指出，AI 分析型智能体在非车险核保辅助场景的预期 ROI 属于"中高"级别，数据质量是关键因素。本模块聚焦非车险投保人的多维度风险分析，为核保员提供 AI 辅助决策支持。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19.2 适用非车险种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险种类别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主要被保标的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核心风险关注点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企业财产险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厂房/设备/库存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行业安全记录、消防等级、历史出险、经营年限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责任险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雇主/公众/产品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员工规模、作业环境危险级别、历史工伤/赔付记录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货运险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运输途中货物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货物类型（危化品/普货）、运输路线、承运人资质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工程险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建筑工程/安装工程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工程规模、施工期、施工资质等级、历史工程事故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农业险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农作物/牲畜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种植区域气候风险、历史自然灾害频率、作物品种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网络安全险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企业网络资产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企业规模、IT 基础设施成熟度、历史安全事件记录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19.3 风险分析维度（企业/机构投保人）</w:t>
      </w:r>
    </w:p>
    <w:p>
      <w:pPr>
        <w:pStyle w:val="Heading3"/>
      </w:pPr>
      <w:r>
        <w:t xml:space="preserve">19.3.1 基本信息风险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企业成立年限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工商数据接口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成立 &lt; 2 年的企业风险较高，抗风险能力弱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企业规模（注册资本/员工数）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工商数据接口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过小规模或注册资本显著低于行业均值为风险信号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行业危险等级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行业分类 + 安监数据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危化品/矿山/建筑业属于高危行业，适用高危费率系数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经营异常记录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工商数据接口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被列入经营异常名录、吊销/注销风险标注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法院失信记录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天眼查/企查查 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被执行人记录、重大诉讼未结案件为高风险信号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19.3.2 历史保险行为风险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历史出险频率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 3 年出险次数与保费比（赔付率），高于行业均值 1.5 倍为高风险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理赔金额异常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单次赔付金额显著高于标的物价值 30%，触发欺诈预警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短期内频繁更换险企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同一投保人近 2 年内更换 ≥ 3 家险企，疑似逆选择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保险中断记录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责任险/工程险存在中断期，说明经营可能出现阶段性困难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19.3.3 标的物风险评估（AI 辅助）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企业财产险：AI 根据被保险地址，调用地理风险数据库（洪涝区/地震带/台风路径），叠加历史自然灾害事件，生成标的物地理风险评分。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责任险：AI 分析投保企业所属行业的近 3 年行业重大事故数据，生成行业风险基准评分。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货运险：AI 根据起止城市和货物类型，评估路线自然灾害风险、交通事故多发路段、货物危险级别，生成路线风险评分。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农业险：AI 接入气象历史数据，分析种植区域近 10 年极端天气（干旱、洪涝、冰雹）频率，生成区域气候风险评分。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网络安全险：基于问卷收集的企业 IT 基础设施成熟度（是否有专职安全团队、是否通过 ISO 27001 等），AI 生成网络安全成熟度评分。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19.4 风险评分输出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综合风险分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核保建议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系统操作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优质标的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~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标准费率，可快速出单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核保建议"通过"，人工确认后直接出单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标准标的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 ~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标准/小幅上浮费率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提示关注点，核保员正常审核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需关注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 ~ 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费率上浮 15-30%，或附加免责条款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生成关注点清单，要求投保人补充材料，人工核保必审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高风险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 ~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建议拒保或极高费率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建议拒保并输出详细原因，提交核保主管审批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19.5 核保辅助报告</w:t>
      </w:r>
    </w:p>
    <w:p>
      <w:pPr>
        <w:spacing w:after="160"/>
      </w:pPr>
      <w:r>
        <w:rPr>
          <w:sz w:val="22"/>
          <w:szCs w:val="22"/>
        </w:rPr>
        <w:t xml:space="preserve">AI 为每笔非车险投保生成结构化核保辅助报告，供核保员参考，包含：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投保人基本风险摘要（5 行以内，高亮关键风险点）。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标的物风险评估（地理 / 行业 / 历史出险三维分析）。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核保建议（通过 / 附条件通过 / 建议拒保）及具体条款建议（免赔额、除外责任建议）。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类似案例参考（从历史核保案例库中检索 3 个相似案例的处理结论，帮助核保员快速对标）。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合规提示（是否涉及高危行业强制核保流程、是否需要现场查勘）。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19.6 数据库设计</w:t>
      </w:r>
    </w:p>
    <w:p>
      <w:pPr>
        <w:pStyle w:val="Heading3"/>
      </w:pPr>
      <w:r>
        <w:t xml:space="preserve">ai_non_car_risk_report（非车险投保人风险分析报告表）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报告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关联投保单 ID（ins-order）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险种类别：PROPERTY/LIABILITY/CARGO/ENGINEERING/AGRICULTURE/CYBER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企业 / 2 个人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基本信息风险分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历史保险行为风险分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标的物风险分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综合风险评分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优质 / 2 标准 / 3 需关注 / 4 高风险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/ CONDITIONAL /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ai_report_content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生成的完整核保辅助报告（Markdown）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similar_cases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参考相似案例 ID 列表（来自核保案例库）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人工核保员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final_decision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人工最终结论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报告生成时间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19.7 API 设计</w:t>
      </w:r>
    </w:p>
    <w:p>
      <w:pPr>
        <w:spacing w:after="160"/>
      </w:pPr>
      <w:r>
        <w:rPr>
          <w:sz w:val="22"/>
          <w:szCs w:val="22"/>
        </w:rPr>
        <w:t xml:space="preserve">POST /api/ai/non-car-risk/evaluate — 执行非车险投保人风险评估</w:t>
      </w:r>
    </w:p>
    <w:p>
      <w:pPr>
        <w:spacing w:after="160"/>
      </w:pPr>
      <w:r>
        <w:rPr>
          <w:sz w:val="22"/>
          <w:szCs w:val="22"/>
        </w:rPr>
        <w:t xml:space="preserve">GET /api/ai/non-car-risk/report/{orderId} — 获取指定投保单的风险报告</w:t>
      </w:r>
    </w:p>
    <w:p>
      <w:pPr>
        <w:spacing w:after="160"/>
      </w:pPr>
      <w:r>
        <w:rPr>
          <w:sz w:val="22"/>
          <w:szCs w:val="22"/>
        </w:rPr>
        <w:t xml:space="preserve">POST /api/ai/non-car-risk/report/{id}/review — 核保员提交审核结论</w:t>
      </w:r>
    </w:p>
    <w:p>
      <w:pPr>
        <w:spacing w:after="160"/>
      </w:pPr>
      <w:r>
        <w:rPr>
          <w:sz w:val="22"/>
          <w:szCs w:val="22"/>
        </w:rPr>
        <w:t xml:space="preserve">GET /api/ai/non-car-risk/similar-cases — 检索相似核保案例（支持险种+风险分区间筛选）</w:t>
      </w:r>
    </w:p>
    <w:p>
      <w:r>
        <w:br w:type="page"/>
      </w:r>
    </w:p>
    <w:p>
      <w:pPr>
        <w:pStyle w:val="Heading1"/>
      </w:pPr>
      <w:r>
        <w:t xml:space="preserve">二十、寿险 AI 投保人风险分析</w:t>
      </w:r>
    </w:p>
    <w:p>
      <w:pPr>
        <w:pStyle w:val="Heading2"/>
      </w:pPr>
      <w:r>
        <w:t xml:space="preserve">20.1 业务背景</w:t>
      </w:r>
    </w:p>
    <w:p>
      <w:pPr>
        <w:spacing w:after="160"/>
      </w:pPr>
      <w:r>
        <w:rPr>
          <w:sz w:val="22"/>
          <w:szCs w:val="22"/>
        </w:rPr>
        <w:t xml:space="preserve">寿险（含人寿险、健康险、意外险）的核保核心是"人的风险"——被保险人的健康状况、职业风险、生活习惯是决定可承保性和费率的关键。传统寿险核保依赖健康问卷（已在第六章覆盖健康告知预筛），本章在此基础上进行深化扩展，构建完整的寿险投保人 AI 风险分析体系，覆盖健康风险、职业风险、行为风险、道德风险四大维度，为核保员提供更全面的 AI 辅助决策支持。</w:t>
      </w:r>
    </w:p>
    <w:p>
      <w:pPr>
        <w:spacing w:after="160"/>
      </w:pPr>
      <w:r>
        <w:rPr>
          <w:sz w:val="22"/>
          <w:szCs w:val="22"/>
        </w:rPr>
        <w:t xml:space="preserve">参考平安简单理赔免人工 63%、复杂案件准确率 85% 的实践，本模块目标：标准体案件 AI 核保建议采纳率 &gt; 80%，复杂案件 AI 辅助核保员效率提升 50%。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20.2 风险分析维度</w:t>
      </w:r>
    </w:p>
    <w:p>
      <w:pPr>
        <w:pStyle w:val="Heading3"/>
      </w:pPr>
      <w:r>
        <w:t xml:space="preserve">20.2.1 健康风险分析（含 BMI + 既往症智能识别）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健康风险维度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分析逻辑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基础体格指标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BMI &lt; 18.5 或 &gt; 28 标注；血压高于 140/90 标注高血压风险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既往症识别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健康告知问卷 + 体检报告 OCR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识别 ICD-10 疾病代码，与产品核保规则库交叉比对，自动生成核保结论建议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家族病史风险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直系亲属（父母/兄弟姐妹）患重大遗传性疾病（癌症/心脏病/糖尿病）提升风险系数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生活习惯风险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吸烟（每日支数×年数=包年数）、饮酒频率、运动习惯，AI 量化为健康行为得分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近期医疗行为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健康告知问卷 + 医疗发票 OCR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 2 年住院 / 手术 / 持续用药记录，AI 提取就医事件链并评估持续风险程度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20.2.2 职业风险分析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职业风险维度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职业危险级别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行业标准职业危险分级表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参考行业标准将职业分为 1-4 级（1 最安全，4 最危险）。4 级职业通常拒保或除外工伤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工作环境暴露风险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投保人声明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长期接触有毒有害物质（化工/矿山/放射线）需专项评估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出行风险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投保人声明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频繁出差（每月 &gt; 15 天）、长期在高风险地区驻扎（战区/高危传染病区）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运动/爱好风险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参与极限运动（攀岩/跳伞/赛车/潜水），AI 根据频率和级别量化额外风险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20.2.3 行为与道德风险分析</w:t>
      </w:r>
    </w:p>
    <w:p>
      <w:pPr>
        <w:spacing w:after="160"/>
      </w:pPr>
      <w:r>
        <w:rPr>
          <w:sz w:val="22"/>
          <w:szCs w:val="22"/>
        </w:rPr>
        <w:t xml:space="preserve">道德风险分析须在满足合规要求前提下谨慎使用，所有数据来源须有明确告知和授权：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短期高额投保行为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平台投保记录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短期内（&lt; 6 个月）在多家险企密集购买大额寿险，疑似逆选择/带病投保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投保人与被保险人关系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投保申请信息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投保人与被保险人非直系亲属且保额异常高时，需核查保险利益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历史理赔记录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行业数据中台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被保险人历史理赔频率显著高于均值，或存在重复申请同类理赔记录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职业与申报收入匹配度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投保申请信息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所投保额与申报收入不符（保额超年收入 20 倍以上需说明），AI 标注审查建议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20.3 AI 核保建议生成（寿险专项）</w:t>
      </w:r>
    </w:p>
    <w:p>
      <w:pPr>
        <w:spacing w:after="160"/>
      </w:pPr>
      <w:r>
        <w:rPr>
          <w:sz w:val="22"/>
          <w:szCs w:val="22"/>
        </w:rPr>
        <w:t xml:space="preserve">在健康告知预筛（第六章）基础上，寿险 AI 投保人风险分析生成更完整的核保建议报告，包含以下增强内容：</w:t>
      </w:r>
    </w:p>
    <w:p>
      <w:pPr>
        <w:pStyle w:val="Heading3"/>
      </w:pPr>
      <w:r>
        <w:t xml:space="preserve">20.3.1 ICD-10 智能对照</w:t>
      </w:r>
    </w:p>
    <w:p>
      <w:pPr>
        <w:spacing w:after="160"/>
      </w:pPr>
      <w:r>
        <w:rPr>
          <w:sz w:val="22"/>
          <w:szCs w:val="22"/>
        </w:rPr>
        <w:t xml:space="preserve">当被保险人申报既往症时，AI 自动完成：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识别病名关键词，映射至 ICD-10 标准疾病代码。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在核保规则库中查找该疾病代码对应的核保处理规则（标准体 / 除外 / 加费 / 延期 / 拒保）。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比对保险产品的疾病定义，判断该疾病是否触发保险条款中的"既往症除外"条款。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生成疾病风险说明，标注条款依据和参考案例，供核保员参考。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20.3.2 核保建议分级输出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建议类别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输出内容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标准体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无健康异常，职业 1-2 级，无行为风险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直接出单建议，预计核保处理 &lt; 1 个工作日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加费承保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BMI 超标 / 慢性病（稳定期）/ 职业 3 级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建议加费幅度区间（如 +20% ~ +50%），附条款依据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除外承保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局部既往症且已稳定无复发 &gt; 2 年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建议除外特定部位/疾病，附除外条款范本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延期核保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 6 个月内手术/住院未康复 / 病情不稳定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建议延期 6-12 个月后重新申请，说明延期原因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建议拒保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恶性肿瘤活跃期 / 职业 4 级 / 道德风险高分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列明拒保原因（各条款依据），标注用户申诉渠道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20.3.3 体检要求智能推荐</w:t>
      </w:r>
    </w:p>
    <w:p>
      <w:pPr>
        <w:spacing w:after="160"/>
      </w:pPr>
      <w:r>
        <w:rPr>
          <w:sz w:val="22"/>
          <w:szCs w:val="22"/>
        </w:rPr>
        <w:t xml:space="preserve">AI 根据被保险人年龄、保额、健康告知结果，自动生成体检要求建议：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年龄 ≥ 45 岁且保额 ≥ 50 万：建议完整体检套餐（血常规 + 尿常规 + 肝肾功能 + 心电图 + 胸片）。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申报有高血压/糖尿病：建议针对性检查（24 小时动态血压 / 糖化血红蛋白 HbA1c）。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高额保单（保额 ≥ 100 万）：建议增加肿瘤标志物筛查。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超出建议体检范围的申请：AI 自动标注"需上门查体"或"需体检报告复核"。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20.4 数据库设计</w:t>
      </w:r>
    </w:p>
    <w:p>
      <w:pPr>
        <w:pStyle w:val="Heading3"/>
      </w:pPr>
      <w:r>
        <w:t xml:space="preserve">ai_life_risk_report（寿险投保人风险分析报告表）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报告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关联投保单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被保险人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健康风险分（0-100）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occupation_risk_level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职业危险级别 1-4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moral_risk_score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道德风险分（0-100）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综合风险评分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/ EXTRA / EXCLUSION / DELAY /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icd10_findings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识别的疾病代码及对应核保建议列表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推荐的体检项目列表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ai_report_content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完整核保辅助报告（Markdown）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使用的风险模型版本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核保员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final_decision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人工最终结论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人工调整备注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报告生成时间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20.5 API 设计</w:t>
      </w:r>
    </w:p>
    <w:p>
      <w:pPr>
        <w:spacing w:after="160"/>
      </w:pPr>
      <w:r>
        <w:rPr>
          <w:sz w:val="22"/>
          <w:szCs w:val="22"/>
        </w:rPr>
        <w:t xml:space="preserve">POST /api/ai/life-risk/evaluate — 执行寿险投保人风险评估</w:t>
      </w:r>
    </w:p>
    <w:p>
      <w:pPr>
        <w:spacing w:after="160"/>
      </w:pPr>
      <w:r>
        <w:rPr>
          <w:sz w:val="22"/>
          <w:szCs w:val="22"/>
        </w:rPr>
        <w:t xml:space="preserve">GET /api/ai/life-risk/report/{orderId} — 获取指定投保单的风险报告</w:t>
      </w:r>
    </w:p>
    <w:p>
      <w:pPr>
        <w:spacing w:after="160"/>
      </w:pPr>
      <w:r>
        <w:rPr>
          <w:sz w:val="22"/>
          <w:szCs w:val="22"/>
        </w:rPr>
        <w:t xml:space="preserve">POST /api/ai/life-risk/report/{id}/review — 核保员提交审核结论</w:t>
      </w:r>
    </w:p>
    <w:p>
      <w:pPr>
        <w:spacing w:after="160"/>
      </w:pPr>
      <w:r>
        <w:rPr>
          <w:sz w:val="22"/>
          <w:szCs w:val="22"/>
        </w:rPr>
        <w:t xml:space="preserve">GET /api/ai/life-risk/icd10/lookup — ICD-10 疾病代码查询（支持病名关键词模糊检索）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20.6 合规要点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风险评分不得以"黑箱"方式直接拒保；每条拒保/除外/加费建议须附具体条款依据，核保员最终决策。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道德风险分析使用的数据须在投保告知书中明确告知被保险人，并获取明确同意（最小化原则）。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ICD-10 智能识别结果须经核保员审核确认后方可写入保单档案，AI 识别结论不直接等同于医学诊断。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体检要求建议由 AI 生成，最终以核保员审核确认后的要求为准，以防 AI 过度或不足要求体检。</w:t>
      </w:r>
    </w:p>
    <w:p>
      <w:r>
        <w:br w:type="page"/>
      </w:r>
    </w:p>
    <w:p>
      <w:pPr>
        <w:pStyle w:val="Heading1"/>
      </w:pPr>
      <w:r>
        <w:t xml:space="preserve">二十一、V1.1 版本新增功能汇总</w:t>
      </w:r>
    </w:p>
    <w:p>
      <w:pPr>
        <w:pStyle w:val="Heading2"/>
      </w:pPr>
      <w:r>
        <w:t xml:space="preserve">21.1 新增模块概览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1500"/>
        <w:gridCol w:w="19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章节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适用阶段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 AI 智能报价系统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报价时效 &lt; 30 秒，AI 三方案对比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 AI 车主风险分析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差异化定价 + 反欺诈预警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非车险 AI 投保人风险分析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多险种核保辅助，效率提升 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寿险 AI 投保人风险分析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ICD-10 智能识别，标准体 AI 采纳率 &gt; 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21.2 与既有章节的关联关系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关联既有功能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 AI 智能报价（第17章）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依赖：MaaS 网关（第3章）、OCR 识别（第7章）、premium-calc-service；产出数据供：车主风险分析（第18章）使用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 AI 车主风险分析（第18章）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依赖：MaaS 网关（第3章）；联动：AI 决策审计日志（第12章）、保险知识库（第5章）欺诈案例知识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非车险 AI 投保人风险分析（第19章）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依赖：MaaS 网关（第3章）、健康告知预筛（第6章，用于含健康因素的责任险）；关联：AI 决策审计日志（第12章）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寿险 AI 投保人风险分析（第20章）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深化扩展：健康告知智能预筛（第6章）；依赖：MaaS 网关（第3章）、OCR 识别（第7章，体检报告）；关联：AI 决策审计日志（第12章）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21.3 新增工作量估算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后端（人天）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前端（人天）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 AI 智能报价系统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 VIN 识别、NCD 查询、三方案生成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 AI 车主风险分析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含风险评分模型、反欺诈联动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非车险 AI 投保人风险分析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含多险种适配、工商/征信接口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寿险 AI 投保人风险分析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 ICD-10 对照、体检建议、报告生成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新增合计（含 20% Buffer）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新增约 85 人天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全文档总计（V1.1）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总计约 259 人天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color w:val="888888"/>
        <w:sz w:val="18"/>
        <w:szCs w:val="18"/>
      </w:rPr>
      <w:t xml:space="preserve">intermediary-cloud  ins-ai 模块 AI 需求 PRD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2026-03-07T02:15:30.123Z</dcterms:created>
  <dcterms:modified xsi:type="dcterms:W3CDTF">2026-03-07T02:15:30.124Z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