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9061EB" w14:textId="77777777" w:rsidR="00DB1FEC" w:rsidRPr="00255E04" w:rsidRDefault="00000000" w:rsidP="00205BDE">
      <w:pPr>
        <w:pBdr>
          <w:bottom w:val="single" w:sz="11" w:space="6" w:color="17365D"/>
        </w:pBdr>
        <w:spacing w:after="60" w:line="240" w:lineRule="auto"/>
        <w:jc w:val="center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39"/>
          <w:lang w:eastAsia="zh-CN"/>
        </w:rPr>
        <w:t xml:space="preserve">客户基金资产配置健诊报告</w:t>
      </w:r>
    </w:p>
    <w:p w14:paraId="63096656" w14:textId="77777777" w:rsidR="00DB1FEC" w:rsidRPr="00255E04" w:rsidRDefault="00000000" w:rsidP="00205BDE">
      <w:pPr>
        <w:spacing w:after="100" w:line="283" w:lineRule="auto"/>
        <w:jc w:val="center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Arial Unicode MS"/>
          <w:color w:val="666666"/>
          <w:sz w:val="16"/>
          <w:lang w:eastAsia="zh-CN"/>
        </w:rPr>
        <w:t xml:space="preserve">报告期间：2026年8月  |  持仓截至：2026年9月8日  |  报告日期：2026年9月9日</w:t>
      </w:r>
    </w:p>
    <w:p w14:paraId="7AA7D5A5" w14:textId="77777777" w:rsidR="00DB1FEC" w:rsidRPr="00255E04" w:rsidRDefault="00000000">
      <w:pPr>
        <w:pStyle w:val="1"/>
        <w:pBdr>
          <w:bottom w:val="single" w:sz="8" w:space="4" w:color="17365D"/>
        </w:pBdr>
        <w:rPr>
          <w:rFonts w:ascii="微软雅黑" w:eastAsia="微软雅黑" w:hAnsi="微软雅黑"/>
          <w:lang w:eastAsia="zh-CN"/>
        </w:rPr>
      </w:pPr>
      <w:r w:rsidRPr="00255E04">
        <w:rPr>
          <w:rFonts w:ascii="微软雅黑" w:eastAsia="微软雅黑" w:hAnsi="微软雅黑" w:cs="Arial Unicode MS"/>
          <w:lang w:eastAsia="zh-CN"/>
        </w:rPr>
        <w:t>一、8月资本市场运行复盘</w:t>
      </w:r>
    </w:p>
    <w:p w14:paraId="13BC0412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Arial Unicode MS"/>
          <w:lang w:eastAsia="zh-CN"/>
        </w:rPr>
        <w:t xml:space="preserve">（一）权益市场：示例标题需替换为当期结论</w:t>
      </w:r>
    </w:p>
    <w:p w14:paraId="2EF4D406" w14:textId="77777777" w:rsidR="00DB1FEC" w:rsidRPr="00255E04" w:rsidRDefault="00000000">
      <w:pPr>
        <w:spacing w:line="283" w:lineRule="auto"/>
        <w:jc w:val="bot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sz w:val="18"/>
          <w:lang w:eastAsia="zh-CN"/>
        </w:rPr>
        <w:t xml:space="preserve">这里写上月权益市场回顾、代表指数和客户持仓相关风格变化，并在句末标注来源编号。[1]</w:t>
      </w:r>
    </w:p>
    <w:p w14:paraId="0176A77A" w14:textId="77777777" w:rsidR="00DB1FEC" w:rsidRPr="00255E04" w:rsidRDefault="00000000">
      <w:pPr>
        <w:spacing w:line="283" w:lineRule="auto"/>
        <w:jc w:val="bot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sz w:val="18"/>
          <w:lang w:eastAsia="zh-CN"/>
        </w:rPr>
        <w:t xml:space="preserve">这里写市场变化对该客户账户的含义，区分市场因素、持仓结构和产品自身表现。</w:t>
      </w:r>
    </w:p>
    <w:p w14:paraId="400396C3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Arial Unicode MS"/>
          <w:lang w:eastAsia="zh-CN"/>
        </w:rPr>
        <w:t xml:space="preserve">（二）债券市场：示例标题需替换为当期结论</w:t>
      </w:r>
    </w:p>
    <w:p w14:paraId="64BB8D75" w14:textId="77777777" w:rsidR="00DB1FEC" w:rsidRPr="00255E04" w:rsidRDefault="00000000">
      <w:pPr>
        <w:spacing w:line="283" w:lineRule="auto"/>
        <w:jc w:val="bot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sz w:val="18"/>
          <w:lang w:eastAsia="zh-CN"/>
        </w:rPr>
        <w:t xml:space="preserve">这里写上月债券市场、利率和信用环境，以及是否需要稳健资产的判断。[2]</w:t>
      </w:r>
    </w:p>
    <w:p w14:paraId="0A2EA5E9" w14:textId="77777777" w:rsidR="00DB1FEC" w:rsidRPr="00255E04" w:rsidRDefault="00000000">
      <w:pPr>
        <w:pStyle w:val="1"/>
        <w:pBdr>
          <w:bottom w:val="single" w:sz="8" w:space="4" w:color="17365D"/>
        </w:pBdr>
        <w:rPr>
          <w:rFonts w:ascii="微软雅黑" w:eastAsia="微软雅黑" w:hAnsi="微软雅黑"/>
          <w:lang w:eastAsia="zh-CN"/>
        </w:rPr>
      </w:pPr>
      <w:r w:rsidRPr="00255E04">
        <w:rPr>
          <w:rFonts w:ascii="微软雅黑" w:eastAsia="微软雅黑" w:hAnsi="微软雅黑" w:cs="Arial Unicode MS"/>
          <w:lang w:eastAsia="zh-CN"/>
        </w:rPr>
        <w:t>二、9月市场展望</w:t>
      </w:r>
    </w:p>
    <w:p w14:paraId="3A9F9E68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Arial Unicode MS"/>
          <w:lang w:eastAsia="zh-CN"/>
        </w:rPr>
        <w:t xml:space="preserve">（一）权益市场：示例展望标题</w:t>
      </w:r>
    </w:p>
    <w:p w14:paraId="188CCF8E" w14:textId="77777777" w:rsidR="00DB1FEC" w:rsidRPr="00255E04" w:rsidRDefault="00000000">
      <w:pPr>
        <w:spacing w:line="283" w:lineRule="auto"/>
        <w:jc w:val="bot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sz w:val="18"/>
          <w:lang w:eastAsia="zh-CN"/>
        </w:rPr>
        <w:t xml:space="preserve">这里使用报告生成日之前最新可得的政策、经济、盈利、估值或流动性证据形成条件式展望。[3]</w:t>
      </w:r>
    </w:p>
    <w:p w14:paraId="6D0330E8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Arial Unicode MS"/>
          <w:lang w:eastAsia="zh-CN"/>
        </w:rPr>
        <w:t xml:space="preserve">（二）组合管理：示例配置标题</w:t>
      </w:r>
    </w:p>
    <w:p w14:paraId="2E782892" w14:textId="77777777" w:rsidR="00DB1FEC" w:rsidRPr="00255E04" w:rsidRDefault="00000000">
      <w:pPr>
        <w:spacing w:line="283" w:lineRule="auto"/>
        <w:jc w:val="bot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sz w:val="18"/>
          <w:lang w:eastAsia="zh-CN"/>
        </w:rPr>
        <w:t xml:space="preserve">这里说明本账户在当前市场环境下的配置思路，不把市场判断写成确定性预测。</w:t>
      </w:r>
    </w:p>
    <w:p w14:paraId="52B93F48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55E04">
        <w:rPr>
          <w:rFonts w:ascii="微软雅黑" w:eastAsia="微软雅黑" w:hAnsi="微软雅黑" w:cs="Arial Unicode MS"/>
          <w:lang w:eastAsia="zh-CN"/>
        </w:rPr>
        <w:t>（三）大类资产配置思路</w:t>
      </w:r>
    </w:p>
    <w:p w14:paraId="27BD899F" w14:textId="77777777" w:rsidR="00DB1FEC" w:rsidRPr="00255E04" w:rsidRDefault="00000000">
      <w:pPr>
        <w:spacing w:line="283" w:lineRule="auto"/>
        <w:jc w:val="bot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sz w:val="18"/>
          <w:lang w:eastAsia="zh-CN"/>
        </w:rPr>
        <w:t xml:space="preserve">这里用一段话概括保留、调出、调入、加仓、现金及执行条件，金额与后文保持一致。</w:t>
      </w:r>
    </w:p>
    <w:p w14:paraId="2D5551C9" w14:textId="77777777" w:rsidR="00DB1FEC" w:rsidRPr="00255E04" w:rsidRDefault="00000000">
      <w:pPr>
        <w:pStyle w:val="1"/>
        <w:pBdr>
          <w:bottom w:val="single" w:sz="8" w:space="4" w:color="17365D"/>
        </w:pBdr>
        <w:rPr>
          <w:rFonts w:ascii="微软雅黑" w:eastAsia="微软雅黑" w:hAnsi="微软雅黑"/>
          <w:lang w:eastAsia="zh-CN"/>
        </w:rPr>
      </w:pPr>
      <w:r w:rsidRPr="00255E04">
        <w:rPr>
          <w:rFonts w:ascii="微软雅黑" w:eastAsia="微软雅黑" w:hAnsi="微软雅黑" w:cs="Arial Unicode MS"/>
          <w:lang w:eastAsia="zh-CN"/>
        </w:rPr>
        <w:t>三、客户持仓全景梳理</w:t>
      </w:r>
    </w:p>
    <w:p w14:paraId="3D2F4843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55E04">
        <w:rPr>
          <w:rFonts w:ascii="微软雅黑" w:eastAsia="微软雅黑" w:hAnsi="微软雅黑" w:cs="Arial Unicode MS"/>
          <w:lang w:eastAsia="zh-CN"/>
        </w:rPr>
        <w:t>（一）总资产概况</w:t>
      </w:r>
    </w:p>
    <w:p w14:paraId="59F40DAD" w14:textId="77777777" w:rsidR="00DB1FEC" w:rsidRPr="00255E04" w:rsidRDefault="00000000">
      <w:pPr>
        <w:spacing w:line="283" w:lineRule="auto"/>
        <w:jc w:val="bot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sz w:val="18"/>
          <w:lang w:eastAsia="zh-CN"/>
        </w:rPr>
        <w:t xml:space="preserve">示例账户累计投入本金100.00万元，持仓市值95.00万元，静态浮亏5.00万元，持有收益率-5.00%。下列产品名称与金额均为脱敏示例。</w:t>
      </w:r>
    </w:p>
    <w:p w14:paraId="02BD8FCD" w14:textId="77777777" w:rsidR="00DB1FEC" w:rsidRPr="00255E04" w:rsidRDefault="00000000">
      <w:pPr>
        <w:pStyle w:val="21"/>
        <w:rPr>
          <w:rFonts w:ascii="微软雅黑" w:eastAsia="微软雅黑" w:hAnsi="微软雅黑"/>
        </w:rPr>
      </w:pPr>
      <w:r w:rsidRPr="00255E04">
        <w:rPr>
          <w:rFonts w:ascii="微软雅黑" w:eastAsia="微软雅黑" w:hAnsi="微软雅黑" w:cs="Arial Unicode MS"/>
        </w:rPr>
        <w:t>（</w:t>
      </w:r>
      <w:proofErr w:type="spellStart"/>
      <w:r w:rsidRPr="00255E04">
        <w:rPr>
          <w:rFonts w:ascii="微软雅黑" w:eastAsia="微软雅黑" w:hAnsi="微软雅黑" w:cs="Arial Unicode MS"/>
        </w:rPr>
        <w:t>二）持仓明细与结构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1200"/>
        <w:gridCol w:w="1200"/>
        <w:gridCol w:w="1100"/>
        <w:gridCol w:w="1100"/>
        <w:gridCol w:w="1460"/>
      </w:tblGrid>
      <w:tr w:rsidR="00DB1FEC" w:rsidRPr="00255E04" w14:paraId="12EF7798" w14:textId="77777777">
        <w:trPr>
          <w:tblHeader/>
        </w:trPr>
        <w:tc>
          <w:tcPr>
            <w:tcW w:w="33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258CE" w14:textId="77777777" w:rsidR="00DB1FEC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255E04"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>产品名称</w:t>
            </w:r>
          </w:p>
        </w:tc>
        <w:tc>
          <w:tcPr>
            <w:tcW w:w="12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55AC8F" w14:textId="77777777" w:rsidR="00DB1FEC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255E04"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>投入本金</w:t>
            </w:r>
            <w:r w:rsidRPr="00255E04"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br/>
              <w:t>(万元)</w:t>
            </w:r>
          </w:p>
        </w:tc>
        <w:tc>
          <w:tcPr>
            <w:tcW w:w="12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C9ACA3" w14:textId="77777777" w:rsidR="00DB1FEC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255E04"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>持仓市值</w:t>
            </w:r>
            <w:r w:rsidRPr="00255E04"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br/>
              <w:t>(万元)</w:t>
            </w:r>
          </w:p>
        </w:tc>
        <w:tc>
          <w:tcPr>
            <w:tcW w:w="11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F0B603" w14:textId="77777777" w:rsidR="00DB1FEC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255E04"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>持有收益率</w:t>
            </w:r>
          </w:p>
        </w:tc>
        <w:tc>
          <w:tcPr>
            <w:tcW w:w="11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39843" w14:textId="77777777" w:rsidR="00DB1FEC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255E04"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>资产类别</w:t>
            </w:r>
          </w:p>
        </w:tc>
        <w:tc>
          <w:tcPr>
            <w:tcW w:w="14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50FE4" w14:textId="77777777" w:rsidR="00DB1FEC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255E04"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>占总资产</w:t>
            </w:r>
          </w:p>
        </w:tc>
      </w:tr>
      <w:tr w:rsidR="00DB1FEC" w:rsidRPr="00255E04" w14:paraId="3AF31683" w14:textId="77777777">
        <w:trPr>
          <w:cantSplit/>
        </w:trPr>
        <w:tc>
          <w:tcPr>
            <w:tcW w:w="33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BCCED" w14:textId="77777777" w:rsidR="00DB1FEC" w:rsidRPr="00255E04" w:rsidRDefault="00000000">
            <w:pPr>
              <w:spacing w:after="0" w:line="254" w:lineRule="auto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cs="Arial Unicode MS"/>
                <w:b/>
                <w:sz w:val="14"/>
                <w:lang w:eastAsia="zh-CN"/>
                <w:color w:val="333333"/>
              </w:rPr>
              <w:t xml:space="preserve">核心宽基示例A</w:t>
            </w:r>
          </w:p>
        </w:tc>
        <w:tc>
          <w:tcPr>
            <w:tcW w:w="12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81573F" w14:textId="77777777" w:rsidR="00DB1FEC" w:rsidRPr="00255E04" w:rsidRDefault="00000000">
            <w:pPr>
              <w:spacing w:after="0" w:line="254" w:lineRule="auto"/>
              <w:jc w:val="righ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55.00</w:t>
            </w:r>
          </w:p>
        </w:tc>
        <w:tc>
          <w:tcPr>
            <w:tcW w:w="12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FCD9BC" w14:textId="77777777" w:rsidR="00DB1FEC" w:rsidRPr="00255E04" w:rsidRDefault="00000000">
            <w:pPr>
              <w:spacing w:after="0" w:line="254" w:lineRule="auto"/>
              <w:jc w:val="righ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54.00</w:t>
            </w:r>
          </w:p>
        </w:tc>
        <w:tc>
          <w:tcPr>
            <w:tcW w:w="11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39F6EF" w14:textId="77777777" w:rsidR="00DB1FEC" w:rsidRPr="00255E04" w:rsidRDefault="00000000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color w:val="269773"/>
                <w:sz w:val="14"/>
              </w:rPr>
              <w:t xml:space="preserve">-1.82%</w:t>
            </w:r>
          </w:p>
        </w:tc>
        <w:tc>
          <w:tcPr>
            <w:tcW w:w="11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C30F68" w14:textId="77777777" w:rsidR="00DB1FEC" w:rsidRPr="00255E04" w:rsidRDefault="00000000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核心宽基</w:t>
            </w:r>
          </w:p>
        </w:tc>
        <w:tc>
          <w:tcPr>
            <w:tcW w:w="14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32E7CB" w14:textId="77777777" w:rsidR="00DB1FEC" w:rsidRPr="00255E04" w:rsidRDefault="00000000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56.84%</w:t>
            </w:r>
          </w:p>
        </w:tc>
      </w:tr>
      <w:tr w:rsidR="00DB1FEC" w:rsidRPr="00255E04" w14:paraId="03926279" w14:textId="77777777">
        <w:trPr>
          <w:cantSplit/>
        </w:trPr>
        <w:tc>
          <w:tcPr>
            <w:tcW w:w="33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3692C" w14:textId="77777777" w:rsidR="00DB1FEC" w:rsidRPr="00255E04" w:rsidRDefault="00000000">
            <w:pPr>
              <w:spacing w:after="0" w:line="254" w:lineRule="auto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cs="Arial Unicode MS"/>
                <w:b/>
                <w:sz w:val="14"/>
                <w:lang w:eastAsia="zh-CN"/>
                <w:color w:val="333333"/>
              </w:rPr>
              <w:t xml:space="preserve">成长主题示例C</w:t>
            </w:r>
          </w:p>
        </w:tc>
        <w:tc>
          <w:tcPr>
            <w:tcW w:w="12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67EB2" w14:textId="77777777" w:rsidR="00DB1FEC" w:rsidRPr="00255E04" w:rsidRDefault="00000000">
            <w:pPr>
              <w:spacing w:after="0" w:line="254" w:lineRule="auto"/>
              <w:jc w:val="righ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45.00</w:t>
            </w:r>
          </w:p>
        </w:tc>
        <w:tc>
          <w:tcPr>
            <w:tcW w:w="12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C757F8" w14:textId="77777777" w:rsidR="00DB1FEC" w:rsidRPr="00255E04" w:rsidRDefault="00000000">
            <w:pPr>
              <w:spacing w:after="0" w:line="254" w:lineRule="auto"/>
              <w:jc w:val="righ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41.00</w:t>
            </w:r>
          </w:p>
        </w:tc>
        <w:tc>
          <w:tcPr>
            <w:tcW w:w="11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868EC1" w14:textId="77777777" w:rsidR="00DB1FEC" w:rsidRPr="00255E04" w:rsidRDefault="00000000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color w:val="269773"/>
                <w:sz w:val="14"/>
              </w:rPr>
              <w:t xml:space="preserve">-8.89%</w:t>
            </w:r>
          </w:p>
        </w:tc>
        <w:tc>
          <w:tcPr>
            <w:tcW w:w="11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F246E" w14:textId="77777777" w:rsidR="00DB1FEC" w:rsidRPr="00255E04" w:rsidRDefault="00000000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成长主题</w:t>
            </w:r>
          </w:p>
        </w:tc>
        <w:tc>
          <w:tcPr>
            <w:tcW w:w="14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57124" w14:textId="77777777" w:rsidR="00DB1FEC" w:rsidRPr="00255E04" w:rsidRDefault="00000000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43.16%</w:t>
            </w:r>
          </w:p>
        </w:tc>
      </w:tr>
      <w:tr w:rsidR="00DB1FEC" w:rsidRPr="00255E04" w14:paraId="3801EF55" w14:textId="77777777">
        <w:trPr>
          <w:cantSplit/>
        </w:trPr>
        <w:tc>
          <w:tcPr>
            <w:tcW w:w="33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8A081" w14:textId="77777777" w:rsidR="00DB1FEC" w:rsidRPr="00255E04" w:rsidRDefault="00000000">
            <w:pPr>
              <w:spacing w:after="0" w:line="254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b/>
                <w:sz w:val="14"/>
                <w:color w:val="333333"/>
              </w:rPr>
              <w:t xml:space="preserve">合计</w:t>
            </w:r>
          </w:p>
        </w:tc>
        <w:tc>
          <w:tcPr>
            <w:tcW w:w="12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269AD" w14:textId="77777777" w:rsidR="00DB1FEC" w:rsidRPr="00255E04" w:rsidRDefault="00000000">
            <w:pPr>
              <w:spacing w:after="0" w:line="254" w:lineRule="auto"/>
              <w:jc w:val="righ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100.00</w:t>
            </w:r>
          </w:p>
        </w:tc>
        <w:tc>
          <w:tcPr>
            <w:tcW w:w="12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8CF295" w14:textId="77777777" w:rsidR="00DB1FEC" w:rsidRPr="00255E04" w:rsidRDefault="00000000">
            <w:pPr>
              <w:spacing w:after="0" w:line="254" w:lineRule="auto"/>
              <w:jc w:val="righ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95.00</w:t>
            </w:r>
          </w:p>
        </w:tc>
        <w:tc>
          <w:tcPr>
            <w:tcW w:w="11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4304B7" w14:textId="77777777" w:rsidR="00DB1FEC" w:rsidRPr="00255E04" w:rsidRDefault="00000000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color w:val="269773"/>
                <w:sz w:val="14"/>
              </w:rPr>
              <w:t xml:space="preserve">-5.00%</w:t>
            </w:r>
          </w:p>
        </w:tc>
        <w:tc>
          <w:tcPr>
            <w:tcW w:w="11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89800" w14:textId="77777777" w:rsidR="00DB1FEC" w:rsidRPr="00255E04" w:rsidRDefault="00000000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—</w:t>
            </w:r>
          </w:p>
        </w:tc>
        <w:tc>
          <w:tcPr>
            <w:tcW w:w="14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C28B1" w14:textId="77777777" w:rsidR="00DB1FEC" w:rsidRPr="00255E04" w:rsidRDefault="00000000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100.00%</w:t>
            </w:r>
          </w:p>
        </w:tc>
      </w:tr>
    </w:tbl>
    <w:p w14:paraId="3D477256" w14:textId="77777777" w:rsidR="00DB1FEC" w:rsidRPr="00255E04" w:rsidRDefault="00DB1FEC">
      <w:pPr>
        <w:spacing w:after="20" w:line="240" w:lineRule="auto"/>
        <w:jc w:val="both"/>
        <w:rPr>
          <w:rFonts w:ascii="微软雅黑" w:eastAsia="微软雅黑" w:hAnsi="微软雅黑"/>
        </w:rPr>
      </w:pPr>
    </w:p>
    <w:p w14:paraId="78FA1AA4" w14:textId="77777777" w:rsidR="00DB1FEC" w:rsidRPr="00255E04" w:rsidRDefault="00000000">
      <w:pPr>
        <w:spacing w:after="60" w:line="283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color w:val="666666"/>
          <w:sz w:val="14"/>
          <w:lang w:eastAsia="zh-CN"/>
        </w:rPr>
        <w:t xml:space="preserve">注：本模板中的产品和金额为演示数据，正式报告须根据客户资料重新计算；办理交易前须核对基金全称、代码、份额、费率和可售状态。</w:t>
      </w:r>
    </w:p>
    <w:p w14:paraId="2DDCF7C5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55E04">
        <w:rPr>
          <w:rFonts w:ascii="微软雅黑" w:eastAsia="微软雅黑" w:hAnsi="微软雅黑" w:cs="Arial Unicode MS"/>
          <w:lang w:eastAsia="zh-CN"/>
        </w:rPr>
        <w:t>（三）大类资产配置结构</w:t>
      </w:r>
    </w:p>
    <w:p w14:paraId="111A1384" w14:textId="77777777" w:rsidR="00DB1FEC" w:rsidRPr="00255E04" w:rsidRDefault="00000000">
      <w:pPr>
        <w:spacing w:line="283" w:lineRule="auto"/>
        <w:jc w:val="bot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sz w:val="18"/>
          <w:lang w:eastAsia="zh-CN"/>
        </w:rPr>
        <w:t xml:space="preserve">示例账户由核心宽基和成长主题构成，成长资产占比较高，后续建议通过稳健资产和仓位上限改善持有体验。</w:t>
      </w:r>
    </w:p>
    <w:p w14:paraId="306B655A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55E04">
        <w:rPr>
          <w:rFonts w:ascii="微软雅黑" w:eastAsia="微软雅黑" w:hAnsi="微软雅黑" w:cs="Arial Unicode MS"/>
          <w:lang w:eastAsia="zh-CN"/>
        </w:rPr>
        <w:t>（四）市场调整背景下的持仓对比</w:t>
      </w:r>
    </w:p>
    <w:p w14:paraId="231C0297" w14:textId="77777777" w:rsidR="00DB1FEC" w:rsidRPr="00FF2B51" w:rsidRDefault="00000000">
      <w:pPr>
        <w:spacing w:line="283" w:lineRule="auto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/>
          <w:sz w:val="18"/>
          <w:szCs w:val="18"/>
          <w:lang w:eastAsia="zh-CN"/>
        </w:rPr>
        <w:t xml:space="preserve">表中指数收益用于说明市场背景，客户持有收益率来自不同买入时点，两者时间口径不同，不能直接比较或用于推算最大回撤。</w:t>
      </w:r>
    </w:p>
    <w:p w14:paraId="049C2CFB" w14:textId="77777777" w:rsidR="00DB1FEC" w:rsidRPr="00FF2B51" w:rsidRDefault="00000000">
      <w:pPr>
        <w:spacing w:after="60" w:line="283" w:lineRule="auto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/>
          <w:sz w:val="18"/>
          <w:szCs w:val="18"/>
          <w:lang w:eastAsia="zh-CN"/>
        </w:rPr>
        <w:t xml:space="preserve">1. 2026年7—8月主要指数表现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2280"/>
        <w:gridCol w:w="2280"/>
      </w:tblGrid>
      <w:tr w:rsidR="00B36AC1" w:rsidRPr="00255E04" w14:paraId="3A828A6E" w14:textId="77777777">
        <w:trPr>
          <w:tblHeader/>
        </w:trPr>
        <w:tc>
          <w:tcPr>
            <w:tcW w:w="15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764FA7" w14:textId="77777777" w:rsidR="00B36AC1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 xml:space="preserve">市场</w:t>
            </w:r>
          </w:p>
        </w:tc>
        <w:tc>
          <w:tcPr>
            <w:tcW w:w="33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DABBE5" w14:textId="77777777" w:rsidR="00B36AC1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 xml:space="preserve">指数（代码）</w:t>
            </w:r>
          </w:p>
        </w:tc>
        <w:tc>
          <w:tcPr>
            <w:tcW w:w="22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70E31" w14:textId="77777777" w:rsidR="00B36AC1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 xml:space="preserve">上月涨跌幅</w:t>
            </w:r>
          </w:p>
        </w:tc>
        <w:tc>
          <w:tcPr>
            <w:tcW w:w="22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84B03" w14:textId="77777777" w:rsidR="00B36AC1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 xml:space="preserve">近两月累计涨跌幅</w:t>
            </w:r>
          </w:p>
        </w:tc>
      </w:tr>
      <w:tr w:rsidR="00255E04" w:rsidRPr="00255E04" w14:paraId="48C10E36" w14:textId="77777777" w:rsidTr="00ED59BE">
        <w:trPr>
          <w:cantSplit/>
        </w:trPr>
        <w:tc>
          <w:tcPr>
            <w:tcW w:w="1500" w:type="dxa"/>
            <w:vMerge w:val="restart"/>
            <w:tcBorders>
              <w:top w:val="single" w:sz="4" w:space="0" w:color="D9E2EA"/>
              <w:left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057DB8" w14:textId="77777777" w:rsidR="00255E04" w:rsidRPr="00255E04" w:rsidRDefault="00255E04" w:rsidP="00255E04">
            <w:pPr>
              <w:spacing w:after="0" w:line="254" w:lineRule="auto"/>
              <w:jc w:val="center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cs="Arial Unicode MS"/>
                <w:b/>
                <w:sz w:val="15"/>
                <w:color w:val="333333"/>
              </w:rPr>
              <w:t xml:space="preserve">A股</w:t>
            </w:r>
          </w:p>
        </w:tc>
        <w:tc>
          <w:tcPr>
            <w:tcW w:w="33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B4DAEE" w14:textId="77777777" w:rsidR="00255E04" w:rsidRPr="00255E04" w:rsidRDefault="00255E04">
            <w:pPr>
              <w:spacing w:after="0" w:line="254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5"/>
                <w:color w:val="333333"/>
              </w:rPr>
              <w:t xml:space="preserve">代表指数甲（000001）</w:t>
            </w:r>
          </w:p>
        </w:tc>
        <w:tc>
          <w:tcPr>
            <w:tcW w:w="22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3FA332" w14:textId="77777777" w:rsidR="00255E04" w:rsidRPr="00255E04" w:rsidRDefault="00255E04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color w:val="269773"/>
                <w:sz w:val="15"/>
              </w:rPr>
              <w:t xml:space="preserve">-2.50%</w:t>
            </w:r>
          </w:p>
        </w:tc>
        <w:tc>
          <w:tcPr>
            <w:tcW w:w="22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47AA0" w14:textId="77777777" w:rsidR="00255E04" w:rsidRPr="00255E04" w:rsidRDefault="00255E04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color w:val="269773"/>
                <w:sz w:val="15"/>
              </w:rPr>
              <w:t xml:space="preserve">-4.20%</w:t>
            </w:r>
          </w:p>
        </w:tc>
      </w:tr>
      <w:tr w:rsidR="00255E04" w:rsidRPr="00255E04" w14:paraId="6E4EA554" w14:textId="77777777" w:rsidTr="00ED59BE">
        <w:trPr>
          <w:cantSplit/>
        </w:trPr>
        <w:tc>
          <w:tcPr>
            <w:tcW w:w="1500" w:type="dxa"/>
            <w:vMerge/>
            <w:tcBorders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B0F66" w14:textId="77777777" w:rsidR="00255E04" w:rsidRPr="00255E04" w:rsidRDefault="00255E04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color w:val="333333"/>
              </w:rPr>
              <w:t xml:space="preserve">A股</w:t>
            </w:r>
          </w:p>
        </w:tc>
        <w:tc>
          <w:tcPr>
            <w:tcW w:w="33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A9778" w14:textId="77777777" w:rsidR="00255E04" w:rsidRPr="00255E04" w:rsidRDefault="00255E04">
            <w:pPr>
              <w:spacing w:after="0" w:line="254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5"/>
                <w:color w:val="333333"/>
              </w:rPr>
              <w:t xml:space="preserve">代表指数乙（399001）</w:t>
            </w:r>
          </w:p>
        </w:tc>
        <w:tc>
          <w:tcPr>
            <w:tcW w:w="22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1A125" w14:textId="77777777" w:rsidR="00255E04" w:rsidRPr="00255E04" w:rsidRDefault="00255E04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color w:val="FF0000"/>
                <w:sz w:val="15"/>
              </w:rPr>
              <w:t xml:space="preserve">+1.30%</w:t>
            </w:r>
          </w:p>
        </w:tc>
        <w:tc>
          <w:tcPr>
            <w:tcW w:w="22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FFE60" w14:textId="77777777" w:rsidR="00255E04" w:rsidRPr="00255E04" w:rsidRDefault="00255E04">
            <w:pPr>
              <w:spacing w:after="0" w:line="254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color w:val="269773"/>
                <w:sz w:val="15"/>
              </w:rPr>
              <w:t xml:space="preserve">-1.10%</w:t>
            </w:r>
          </w:p>
        </w:tc>
      </w:tr>
    </w:tbl>
    <w:p w14:paraId="5A297C67" w14:textId="77777777" w:rsidR="00DB1FEC" w:rsidRPr="00255E04" w:rsidRDefault="00DB1FEC">
      <w:pPr>
        <w:spacing w:after="20" w:line="240" w:lineRule="auto"/>
        <w:jc w:val="both"/>
        <w:rPr>
          <w:rFonts w:ascii="微软雅黑" w:eastAsia="微软雅黑" w:hAnsi="微软雅黑"/>
        </w:rPr>
      </w:pPr>
    </w:p>
    <w:p w14:paraId="0496630C" w14:textId="77777777" w:rsidR="00DB1FEC" w:rsidRPr="00255E04" w:rsidRDefault="00000000">
      <w:pPr>
        <w:spacing w:line="283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color w:val="666666"/>
          <w:sz w:val="14"/>
          <w:lang w:eastAsia="zh-CN"/>
        </w:rPr>
        <w:t xml:space="preserve">注：示例指数数据仅用于展示颜色和版式，正式报告必须从权威来源重新计算。[1]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B1FEC" w:rsidRPr="00255E04" w14:paraId="1BF81B33" w14:textId="77777777">
        <w:trPr>
          <w:cantSplit/>
          <w:tblHeader/>
        </w:trPr>
        <w:tc>
          <w:tcPr>
            <w:tcW w:w="9360" w:type="dxa"/>
            <w:tcBorders>
              <w:top w:val="nil"/>
              <w:left w:val="single" w:sz="18" w:space="0" w:color="2E75B6"/>
              <w:bottom w:val="nil"/>
              <w:right w:val="nil"/>
            </w:tcBorders>
            <w:shd w:val="clear" w:color="auto" w:fill="DF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27EDB" w14:textId="77777777" w:rsidR="00DB1FEC" w:rsidRPr="00255E04" w:rsidRDefault="00000000">
            <w:pPr>
              <w:spacing w:after="30" w:line="269" w:lineRule="auto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cs="Arial Unicode MS"/>
                <w:b/>
                <w:color w:val="17365D"/>
                <w:sz w:val="18"/>
                <w:lang w:eastAsia="zh-CN"/>
              </w:rPr>
              <w:t xml:space="preserve">核心结论</w:t>
            </w:r>
          </w:p>
          <w:p w14:paraId="15A95394" w14:textId="77777777" w:rsidR="00DB1FEC" w:rsidRPr="00255E04" w:rsidRDefault="00000000">
            <w:pPr>
              <w:spacing w:after="0" w:line="276" w:lineRule="auto"/>
              <w:jc w:val="both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8"/>
                <w:lang w:eastAsia="zh-CN"/>
              </w:rPr>
              <w:t xml:space="preserve">本文件只展示技能生成的版式与字段。正式报告必须替换全部示例基金、金额、日期、指数、市场观点、操作建议和来源。</w:t>
            </w:r>
          </w:p>
        </w:tc>
      </w:tr>
    </w:tbl>
    <w:p w14:paraId="1838437B" w14:textId="77777777" w:rsidR="00DB1FEC" w:rsidRPr="00255E04" w:rsidRDefault="00DB1FEC">
      <w:pPr>
        <w:spacing w:after="40" w:line="240" w:lineRule="auto"/>
        <w:jc w:val="both"/>
        <w:rPr>
          <w:rFonts w:ascii="微软雅黑" w:eastAsia="微软雅黑" w:hAnsi="微软雅黑"/>
        </w:rPr>
      </w:pPr>
    </w:p>
    <w:p w14:paraId="418171E4" w14:textId="77777777" w:rsidR="00DB1FEC" w:rsidRPr="00255E04" w:rsidRDefault="00000000">
      <w:pPr>
        <w:pStyle w:val="1"/>
        <w:pBdr>
          <w:bottom w:val="single" w:sz="8" w:space="4" w:color="17365D"/>
        </w:pBdr>
        <w:rPr>
          <w:rFonts w:ascii="微软雅黑" w:eastAsia="微软雅黑" w:hAnsi="微软雅黑"/>
        </w:rPr>
      </w:pPr>
      <w:r w:rsidRPr="00255E04">
        <w:rPr>
          <w:rFonts w:ascii="微软雅黑" w:eastAsia="微软雅黑" w:hAnsi="微软雅黑" w:cs="Arial Unicode MS"/>
        </w:rPr>
        <w:t>四、持仓配置亮点总结</w:t>
      </w:r>
    </w:p>
    <w:p w14:paraId="1DFB181D" w14:textId="77777777" w:rsidR="00DB1FEC" w:rsidRPr="00FF2B51" w:rsidRDefault="00000000">
      <w:pPr>
        <w:spacing w:after="70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1. 示例账户保留了核心宽基，可作为长期底仓。</w:t>
      </w:r>
    </w:p>
    <w:p w14:paraId="44D8D3AC" w14:textId="77777777" w:rsidR="00DB1FEC" w:rsidRPr="00FF2B51" w:rsidRDefault="00000000">
      <w:pPr>
        <w:spacing w:after="70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2. 成长产品仍有修复弹性，但主题重叠需要控制。</w:t>
      </w:r>
    </w:p>
    <w:p w14:paraId="4D3D3DBB" w14:textId="77777777" w:rsidR="00DB1FEC" w:rsidRPr="00FF2B51" w:rsidRDefault="00000000">
      <w:pPr>
        <w:spacing w:after="70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3. 本轮只处理最重要的结构问题，避免多笔小额调整。</w:t>
      </w:r>
    </w:p>
    <w:p w14:paraId="41761D61" w14:textId="77777777" w:rsidR="00DB1FEC" w:rsidRPr="00255E04" w:rsidRDefault="00000000">
      <w:pPr>
        <w:pStyle w:val="1"/>
        <w:pBdr>
          <w:bottom w:val="single" w:sz="8" w:space="4" w:color="17365D"/>
        </w:pBdr>
        <w:rPr>
          <w:rFonts w:ascii="微软雅黑" w:eastAsia="微软雅黑" w:hAnsi="微软雅黑"/>
          <w:lang w:eastAsia="zh-CN"/>
        </w:rPr>
      </w:pPr>
      <w:r w:rsidRPr="00255E04">
        <w:rPr>
          <w:rFonts w:ascii="微软雅黑" w:eastAsia="微软雅黑" w:hAnsi="微软雅黑" w:cs="Arial Unicode MS"/>
          <w:lang w:eastAsia="zh-CN"/>
        </w:rPr>
        <w:t>五、下一阶段配置策略与操作建议</w:t>
      </w:r>
    </w:p>
    <w:p w14:paraId="6B51E209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Arial Unicode MS"/>
          <w:lang w:eastAsia="zh-CN"/>
        </w:rPr>
        <w:t xml:space="preserve">（一）调整原则：保留有效配置，优化集中度</w:t>
      </w:r>
    </w:p>
    <w:p w14:paraId="3F595E44" w14:textId="77777777" w:rsidR="00DB1FEC" w:rsidRPr="00255E04" w:rsidRDefault="00000000">
      <w:pPr>
        <w:spacing w:line="283" w:lineRule="auto"/>
        <w:jc w:val="bot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sz w:val="18"/>
          <w:lang w:eastAsia="zh-CN"/>
        </w:rPr>
        <w:t xml:space="preserve">这里说明保留哪些存量及其依据，并明确需要改善的集中度、重叠度或流动性问题。</w:t>
      </w:r>
    </w:p>
    <w:p w14:paraId="62823F3A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Arial Unicode MS"/>
          <w:lang w:eastAsia="zh-CN"/>
        </w:rPr>
        <w:t xml:space="preserve">（二）资金去向：根据账户规模决定是否留现金</w:t>
      </w:r>
    </w:p>
    <w:p w14:paraId="39C07CD2" w14:textId="3D59F1E2" w:rsidR="00DB1FEC" w:rsidRPr="00255E04" w:rsidRDefault="00000000">
      <w:pPr>
        <w:spacing w:line="283" w:lineRule="auto"/>
        <w:jc w:val="bot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sz w:val="18"/>
          <w:lang w:eastAsia="zh-CN"/>
        </w:rPr>
        <w:t xml:space="preserve">这里写调出资金和新增资金的实际去向；现金不是固定比例，须说明用途和启用条件。</w:t>
      </w:r>
    </w:p>
    <w:p w14:paraId="28815B95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Arial Unicode MS"/>
          <w:lang w:eastAsia="zh-CN"/>
        </w:rPr>
        <w:t xml:space="preserve">（三）候选筛选：核对档期、期限和适当性</w:t>
      </w:r>
    </w:p>
    <w:p w14:paraId="05A32E10" w14:textId="77777777" w:rsidR="00DB1FEC" w:rsidRPr="00255E04" w:rsidRDefault="00000000">
      <w:pPr>
        <w:spacing w:line="283" w:lineRule="auto"/>
        <w:jc w:val="bot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sz w:val="18"/>
          <w:lang w:eastAsia="zh-CN"/>
        </w:rPr>
        <w:t xml:space="preserve">这里说明为何选择调入产品、为何排除其他候选，以及渠道待确认事项。</w:t>
      </w:r>
    </w:p>
    <w:p w14:paraId="602AC180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Arial Unicode MS"/>
          <w:lang w:eastAsia="zh-CN"/>
        </w:rPr>
        <w:t xml:space="preserve">（四）具体操作建议：示例标题需概括本轮动作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00"/>
        <w:gridCol w:w="2900"/>
        <w:gridCol w:w="3060"/>
      </w:tblGrid>
      <w:tr w:rsidR="00B36AC1" w:rsidRPr="00255E04" w14:paraId="17538438" w14:textId="77777777">
        <w:trPr>
          <w:tblHeader/>
        </w:trPr>
        <w:tc>
          <w:tcPr>
            <w:tcW w:w="34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E3359" w14:textId="77777777" w:rsidR="00B36AC1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255E04"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>产品</w:t>
            </w:r>
          </w:p>
        </w:tc>
        <w:tc>
          <w:tcPr>
            <w:tcW w:w="29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4D418" w14:textId="77777777" w:rsidR="00B36AC1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255E04"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>当前状态</w:t>
            </w:r>
          </w:p>
        </w:tc>
        <w:tc>
          <w:tcPr>
            <w:tcW w:w="30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1972BD" w14:textId="77777777" w:rsidR="00B36AC1" w:rsidRPr="00255E04" w:rsidRDefault="00000000">
            <w:pPr>
              <w:spacing w:after="0" w:line="252" w:lineRule="auto"/>
              <w:jc w:val="center"/>
              <w:rPr>
                <w:rFonts w:ascii="微软雅黑" w:eastAsia="微软雅黑" w:hAnsi="微软雅黑"/>
              </w:rPr>
            </w:pPr>
            <w:r w:rsidRPr="00255E04">
              <w:rPr>
                <w:rFonts w:ascii="微软雅黑" w:eastAsia="微软雅黑" w:hAnsi="微软雅黑" w:cs="Arial Unicode MS"/>
                <w:b/>
                <w:color w:val="FFFFFF"/>
                <w:sz w:val="16"/>
              </w:rPr>
              <w:t>操作建议</w:t>
            </w:r>
          </w:p>
        </w:tc>
      </w:tr>
      <w:tr w:rsidR="00B36AC1" w:rsidRPr="00255E04" w14:paraId="0BD54709" w14:textId="77777777">
        <w:trPr>
          <w:cantSplit/>
        </w:trPr>
        <w:tc>
          <w:tcPr>
            <w:tcW w:w="34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41DB9" w14:textId="77777777" w:rsidR="00B36AC1" w:rsidRPr="00255E04" w:rsidRDefault="00000000">
            <w:pPr>
              <w:spacing w:after="0" w:line="254" w:lineRule="auto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cs="Arial Unicode MS"/>
                <w:b/>
                <w:sz w:val="14"/>
                <w:lang w:eastAsia="zh-CN"/>
                <w:color w:val="333333"/>
              </w:rPr>
              <w:t xml:space="preserve">核心宽基示例A</w:t>
            </w:r>
          </w:p>
        </w:tc>
        <w:tc>
          <w:tcPr>
            <w:tcW w:w="29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54A0E" w14:textId="77777777" w:rsidR="00B36AC1" w:rsidRPr="00255E04" w:rsidRDefault="00000000">
            <w:pPr>
              <w:spacing w:after="0" w:line="254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color w:val="269773"/>
                <w:sz w:val="14"/>
              </w:rPr>
              <w:t xml:space="preserve">亏损1.82%，占比56.84%</w:t>
            </w:r>
          </w:p>
        </w:tc>
        <w:tc>
          <w:tcPr>
            <w:tcW w:w="30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6BAB2" w14:textId="6085A650" w:rsidR="00B36AC1" w:rsidRPr="00255E04" w:rsidRDefault="00000000">
            <w:pPr>
              <w:spacing w:after="0" w:line="254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继续持有；作为核心底仓</w:t>
            </w:r>
          </w:p>
        </w:tc>
      </w:tr>
      <w:tr w:rsidR="00B36AC1" w:rsidRPr="00255E04" w14:paraId="02F3A72A" w14:textId="77777777">
        <w:trPr>
          <w:cantSplit/>
        </w:trPr>
        <w:tc>
          <w:tcPr>
            <w:tcW w:w="34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2EE3A" w14:textId="77777777" w:rsidR="00B36AC1" w:rsidRPr="00255E04" w:rsidRDefault="00000000">
            <w:pPr>
              <w:spacing w:after="0" w:line="254" w:lineRule="auto"/>
              <w:rPr>
                <w:rFonts w:ascii="微软雅黑" w:eastAsia="微软雅黑" w:hAnsi="微软雅黑"/>
                <w:b/>
                <w:lang w:eastAsia="zh-CN"/>
              </w:rPr>
            </w:pPr>
            <w:r>
              <w:rPr>
                <w:rFonts w:ascii="微软雅黑" w:eastAsia="微软雅黑" w:hAnsi="微软雅黑" w:cs="Arial Unicode MS"/>
                <w:b/>
                <w:sz w:val="14"/>
                <w:lang w:eastAsia="zh-CN"/>
                <w:color w:val="333333"/>
              </w:rPr>
              <w:t xml:space="preserve">成长主题示例C</w:t>
            </w:r>
          </w:p>
        </w:tc>
        <w:tc>
          <w:tcPr>
            <w:tcW w:w="29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49E543" w14:textId="77777777" w:rsidR="00B36AC1" w:rsidRPr="00255E04" w:rsidRDefault="00000000">
            <w:pPr>
              <w:spacing w:after="0" w:line="254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color w:val="269773"/>
                <w:sz w:val="14"/>
              </w:rPr>
              <w:t xml:space="preserve">亏损8.89%，占比43.16%</w:t>
            </w:r>
          </w:p>
        </w:tc>
        <w:tc>
          <w:tcPr>
            <w:tcW w:w="30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D0C0A" w14:textId="77777777" w:rsidR="00B36AC1" w:rsidRPr="00255E04" w:rsidRDefault="00000000">
            <w:pPr>
              <w:spacing w:after="0" w:line="254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继续持有；暂不追加</w:t>
            </w:r>
          </w:p>
        </w:tc>
      </w:tr>
      <w:tr w:rsidR="00B36AC1" w:rsidRPr="00255E04" w14:paraId="0BD54709" w14:textId="77777777">
        <w:trPr>
          <w:cantSplit/>
        </w:trPr>
        <w:tc>
          <w:tcPr>
            <w:tcW w:w="34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41DB9" w14:textId="77777777" w:rsidR="00B36AC1" w:rsidRPr="00255E04" w:rsidRDefault="00000000">
            <w:pPr>
              <w:spacing w:after="0" w:line="254" w:lineRule="auto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cs="Arial Unicode MS"/>
                <w:b/>
                <w:sz w:val="14"/>
                <w:lang w:eastAsia="zh-CN"/>
                <w:color w:val="333333"/>
              </w:rPr>
              <w:t xml:space="preserve">稳健债券示例A</w:t>
            </w:r>
          </w:p>
        </w:tc>
        <w:tc>
          <w:tcPr>
            <w:tcW w:w="29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54A0E" w14:textId="77777777" w:rsidR="00B36AC1" w:rsidRPr="00255E04" w:rsidRDefault="00000000">
            <w:pPr>
              <w:spacing w:after="0" w:line="254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color w:val="333333"/>
                <w:sz w:val="14"/>
              </w:rPr>
              <w:t xml:space="preserve">待渠道确认</w:t>
            </w:r>
          </w:p>
        </w:tc>
        <w:tc>
          <w:tcPr>
            <w:tcW w:w="30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6BAB2" w14:textId="6085A650" w:rsidR="00B36AC1" w:rsidRPr="00255E04" w:rsidRDefault="00000000">
            <w:pPr>
              <w:spacing w:after="0" w:line="254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Arial Unicode MS"/>
                <w:sz w:val="14"/>
                <w:color w:val="333333"/>
              </w:rPr>
              <w:t xml:space="preserve">条件满足后小比例新建仓</w:t>
            </w:r>
          </w:p>
        </w:tc>
      </w:tr>
    </w:tbl>
    <w:p w14:paraId="62845483" w14:textId="77777777" w:rsidR="00B36AC1" w:rsidRPr="00255E04" w:rsidRDefault="00B36AC1">
      <w:pPr>
        <w:spacing w:after="20" w:line="240" w:lineRule="auto"/>
        <w:jc w:val="both"/>
        <w:rPr>
          <w:rFonts w:ascii="微软雅黑" w:eastAsia="微软雅黑" w:hAnsi="微软雅黑"/>
          <w:lang w:eastAsia="zh-CN"/>
        </w:rPr>
      </w:pPr>
    </w:p>
    <w:p w14:paraId="09AB04C1" w14:textId="77777777" w:rsidR="00DB1FEC" w:rsidRPr="00FF2B51" w:rsidRDefault="00000000">
      <w:pPr>
        <w:spacing w:after="60" w:line="283" w:lineRule="auto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1. 存量持仓</w:t>
      </w:r>
    </w:p>
    <w:p w14:paraId="00E20774" w14:textId="77777777" w:rsidR="00DB1FEC" w:rsidRPr="00FF2B51" w:rsidRDefault="00000000">
      <w:pPr>
        <w:spacing w:after="70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核心宽基示例A（000001）。</w:t>
      </w:r>
      <w:r>
        <w:rPr>
          <w:rFonts w:ascii="微软雅黑" w:eastAsia="微软雅黑" w:hAnsi="微软雅黑" w:cs="Arial Unicode MS"/>
          <w:sz w:val="18"/>
          <w:szCs w:val="18"/>
          <w:lang w:eastAsia="zh-CN"/>
        </w:rPr>
        <w:t xml:space="preserve">当前市值54.00万元，占账户56.84%，持有收益率-1.82%。建议继续持有并作为核心底仓，正式报告须补充真实投资逻辑和观察条件。</w:t>
      </w:r>
    </w:p>
    <w:p w14:paraId="00E20774" w14:textId="77777777" w:rsidR="00DB1FEC" w:rsidRPr="00FF2B51" w:rsidRDefault="00000000">
      <w:pPr>
        <w:spacing w:after="70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成长主题示例C（000002）。</w:t>
      </w:r>
      <w:r>
        <w:rPr>
          <w:rFonts w:ascii="微软雅黑" w:eastAsia="微软雅黑" w:hAnsi="微软雅黑" w:cs="Arial Unicode MS"/>
          <w:sz w:val="18"/>
          <w:szCs w:val="18"/>
          <w:lang w:eastAsia="zh-CN"/>
        </w:rPr>
        <w:t xml:space="preserve">当前市值41.00万元，占账户43.16%，持有收益率-8.89%。建议继续持有但暂不追加，正式报告须根据重叠度、估值和客户风险预算决定是否降仓。</w:t>
      </w:r>
    </w:p>
    <w:p w14:paraId="0517906A" w14:textId="787DB43A" w:rsidR="00DB1FEC" w:rsidRPr="00FF2B51" w:rsidRDefault="00000000">
      <w:pPr>
        <w:spacing w:after="60" w:line="283" w:lineRule="auto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2. 调入产品</w:t>
      </w:r>
    </w:p>
    <w:p w14:paraId="08BEF7FF" w14:textId="3136F081" w:rsidR="00DB1FEC" w:rsidRPr="00FF2B51" w:rsidRDefault="00000000">
      <w:pPr>
        <w:spacing w:after="70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稳健债券示例A（000003）。</w:t>
      </w:r>
      <w:r>
        <w:rPr>
          <w:rFonts w:ascii="微软雅黑" w:eastAsia="微软雅黑" w:hAnsi="微软雅黑" w:cs="Arial Unicode MS"/>
          <w:color w:val="333333"/>
          <w:sz w:val="18"/>
          <w:szCs w:val="18"/>
          <w:lang w:eastAsia="zh-CN"/>
        </w:rPr>
        <w:t xml:space="preserve">建议在渠道确认开放、风险等级和持有期适配后小比例配置，用于降低权益组合的单一波动来源；本示例不构成真实产品推荐。</w:t>
      </w:r>
    </w:p>
    <w:p w14:paraId="213CABB5" w14:textId="77777777" w:rsidR="00DB1FEC" w:rsidRPr="00FF2B51" w:rsidRDefault="00000000">
      <w:pPr>
        <w:spacing w:after="70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color w:val="333333"/>
          <w:sz w:val="18"/>
          <w:szCs w:val="18"/>
          <w:lang w:eastAsia="zh-CN"/>
        </w:rPr>
        <w:t xml:space="preserve">操作节奏总纲。这里写阶段金额、到账与销售档期衔接、优先顺序、交易失败或金额不足时的备用方案。</w:t>
      </w:r>
    </w:p>
    <w:p w14:paraId="2F940FD4" w14:textId="77777777" w:rsidR="00DB1FEC" w:rsidRPr="00255E04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55E04">
        <w:rPr>
          <w:rFonts w:ascii="微软雅黑" w:eastAsia="微软雅黑" w:hAnsi="微软雅黑" w:cs="Arial Unicode MS"/>
          <w:lang w:eastAsia="zh-CN"/>
        </w:rPr>
        <w:t>（五）分情景应对方案</w:t>
      </w:r>
    </w:p>
    <w:p w14:paraId="5E300005" w14:textId="68E28496" w:rsidR="00DB1FEC" w:rsidRPr="00FF2B51" w:rsidRDefault="00000000">
      <w:pPr>
        <w:spacing w:after="70"/>
        <w:jc w:val="both"/>
        <w:rPr>
          <w:rFonts w:ascii="微软雅黑" w:eastAsia="微软雅黑" w:hAnsi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若市场继续上涨：</w:t>
      </w:r>
      <w:r>
        <w:rPr>
          <w:rFonts w:ascii="微软雅黑" w:eastAsia="微软雅黑" w:hAnsi="微软雅黑" w:cs="Arial Unicode MS" w:hint="eastAsia"/>
          <w:color w:val="333333"/>
          <w:sz w:val="18"/>
          <w:szCs w:val="18"/>
          <w:lang w:eastAsia="zh-CN"/>
        </w:rPr>
        <w:t xml:space="preserve">按既定仓位上限执行，不追涨扩大主题资产。</w:t>
      </w:r>
    </w:p>
    <w:p w14:paraId="727DAF02" w14:textId="7C221D8C" w:rsidR="00DB1FEC" w:rsidRPr="00FF2B51" w:rsidRDefault="00000000">
      <w:pPr>
        <w:spacing w:after="70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若市场维持震荡：</w:t>
      </w:r>
      <w:r>
        <w:rPr>
          <w:rFonts w:ascii="微软雅黑" w:eastAsia="微软雅黑" w:hAnsi="微软雅黑" w:cs="Arial Unicode MS"/>
          <w:color w:val="333333"/>
          <w:sz w:val="18"/>
          <w:szCs w:val="18"/>
          <w:lang w:eastAsia="zh-CN"/>
        </w:rPr>
        <w:t xml:space="preserve">分批实施并观察组合波动，不频繁切换。</w:t>
      </w:r>
    </w:p>
    <w:p w14:paraId="5AAFCED8" w14:textId="77777777" w:rsidR="00DB1FEC" w:rsidRPr="00FF2B51" w:rsidRDefault="00000000">
      <w:pPr>
        <w:spacing w:after="70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若市场再次回落：</w:t>
      </w:r>
      <w:r>
        <w:rPr>
          <w:rFonts w:ascii="微软雅黑" w:eastAsia="微软雅黑" w:hAnsi="微软雅黑"/>
          <w:sz w:val="18"/>
          <w:szCs w:val="18"/>
          <w:lang w:eastAsia="zh-CN"/>
        </w:rPr>
        <w:t xml:space="preserve">仅在逻辑未破坏、有闲置资金和风险适配时分批逆向布局，写明单轮金额上限和停止条件。</w:t>
      </w:r>
    </w:p>
    <w:p w14:paraId="259F1CB2" w14:textId="77777777" w:rsidR="00DB1FEC" w:rsidRPr="00255E04" w:rsidRDefault="00000000">
      <w:pPr>
        <w:pStyle w:val="1"/>
        <w:pBdr>
          <w:bottom w:val="single" w:sz="8" w:space="4" w:color="17365D"/>
        </w:pBdr>
        <w:rPr>
          <w:rFonts w:ascii="微软雅黑" w:eastAsia="微软雅黑" w:hAnsi="微软雅黑"/>
          <w:lang w:eastAsia="zh-CN"/>
        </w:rPr>
      </w:pPr>
      <w:r w:rsidRPr="00255E04">
        <w:rPr>
          <w:rFonts w:ascii="微软雅黑" w:eastAsia="微软雅黑" w:hAnsi="微软雅黑" w:cs="Arial Unicode MS"/>
          <w:lang w:eastAsia="zh-CN"/>
        </w:rPr>
        <w:t>六、风险提示</w:t>
      </w:r>
    </w:p>
    <w:p w14:paraId="641CA58A" w14:textId="77777777" w:rsidR="00DB1FEC" w:rsidRPr="00FF2B51" w:rsidRDefault="00000000">
      <w:pPr>
        <w:spacing w:after="70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1. 市场与集中度风险：</w:t>
      </w:r>
      <w:r>
        <w:rPr>
          <w:rFonts w:ascii="微软雅黑" w:eastAsia="微软雅黑" w:hAnsi="微软雅黑" w:cs="Arial Unicode MS"/>
          <w:sz w:val="18"/>
          <w:szCs w:val="18"/>
          <w:lang w:eastAsia="zh-CN"/>
        </w:rPr>
        <w:t xml:space="preserve">权益和主题资产可能继续波动，报告不承诺收益、回本时间或最大回撤。</w:t>
      </w:r>
    </w:p>
    <w:p w14:paraId="3A0786E9" w14:textId="77777777" w:rsidR="00DB1FEC" w:rsidRPr="00FF2B51" w:rsidRDefault="00000000">
      <w:pPr>
        <w:spacing w:after="70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2. 流动性与费用：</w:t>
      </w:r>
      <w:r>
        <w:rPr>
          <w:rFonts w:ascii="微软雅黑" w:eastAsia="微软雅黑" w:hAnsi="微软雅黑" w:cs="Arial Unicode MS"/>
          <w:sz w:val="18"/>
          <w:szCs w:val="18"/>
          <w:lang w:eastAsia="zh-CN"/>
        </w:rPr>
        <w:t xml:space="preserve">赎回、转换、最短持有期和到账时间以合同与渠道规则为准。</w:t>
      </w:r>
    </w:p>
    <w:p w14:paraId="4DCF6213" w14:textId="77777777" w:rsidR="00DB1FEC" w:rsidRPr="00FF2B51" w:rsidRDefault="00000000">
      <w:pPr>
        <w:spacing w:after="70"/>
        <w:jc w:val="both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cs="Arial Unicode MS"/>
          <w:b/>
          <w:color w:val="17365D"/>
          <w:sz w:val="18"/>
          <w:szCs w:val="18"/>
          <w:lang w:eastAsia="zh-CN"/>
        </w:rPr>
        <w:t xml:space="preserve">3. 数据与执行：</w:t>
      </w:r>
      <w:r>
        <w:rPr>
          <w:rFonts w:ascii="微软雅黑" w:eastAsia="微软雅黑" w:hAnsi="微软雅黑" w:cs="Arial Unicode MS"/>
          <w:sz w:val="18"/>
          <w:szCs w:val="18"/>
          <w:lang w:eastAsia="zh-CN"/>
        </w:rPr>
        <w:t xml:space="preserve">方案按静态数据测算，成交净值、费率、额度和销售状态以银行受理时为准。</w:t>
      </w:r>
    </w:p>
    <w:p w14:paraId="27F24D0B" w14:textId="18B74B49" w:rsidR="00DB1FEC" w:rsidRPr="00255E04" w:rsidRDefault="00FF2B51" w:rsidP="00FF2B51">
      <w:pPr>
        <w:spacing w:after="0" w:line="283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cs="宋体"/>
          <w:color w:val="666666"/>
          <w:sz w:val="14"/>
          <w:lang w:eastAsia="zh-CN"/>
        </w:rPr>
        <w:t xml:space="preserve">资料来源：客户提供的脱敏示例；公开资料检索截至2026年9月9日。以下编号可点击查阅。</w:t>
      </w:r>
    </w:p>
    <w:sectPr w:rsidR="00DB1FEC" w:rsidRPr="00255E04" w:rsidSect="00034616">
      <w:footerReference w:type="default" r:id="rId8"/>
      <w:pgSz w:w="11906" w:h="16838"/>
      <w:pgMar w:top="822" w:right="992" w:bottom="765" w:left="992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492C36" w14:textId="77777777" w:rsidR="008D4A38" w:rsidRDefault="008D4A38">
      <w:pPr>
        <w:spacing w:after="0" w:line="240" w:lineRule="auto"/>
      </w:pPr>
      <w:r>
        <w:separator/>
      </w:r>
    </w:p>
  </w:endnote>
  <w:endnote w:type="continuationSeparator" w:id="0">
    <w:p w14:paraId="72ACAA02" w14:textId="77777777" w:rsidR="008D4A38" w:rsidRDefault="008D4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7A82CB" w14:textId="77777777" w:rsidR="00DB1FEC" w:rsidRDefault="00000000">
    <w:pPr>
      <w:pStyle w:val="a7"/>
      <w:jc w:val="both"/>
      <w:rPr>
        <w:lang w:eastAsia="zh-CN"/>
      </w:rPr>
    </w:pPr>
    <w:r>
      <w:rPr>
        <w:rFonts w:cs="Arial Unicode MS"/>
        <w:color w:val="666666"/>
        <w:sz w:val="15"/>
        <w:lang w:eastAsia="zh-CN"/>
      </w:rPr>
      <w:t xml:space="preserve">客户基金资产配置健诊报告</w:t>
    </w:r>
    <w:r>
      <w:rPr>
        <w:rFonts w:cs="Arial Unicode MS"/>
        <w:color w:val="666666"/>
        <w:sz w:val="15"/>
      </w:rPr>
      <w:fldChar w:fldCharType="begin"/>
    </w:r>
    <w:r>
      <w:rPr>
        <w:rFonts w:cs="Arial Unicode MS"/>
        <w:color w:val="666666"/>
        <w:sz w:val="15"/>
        <w:lang w:eastAsia="zh-CN"/>
      </w:rPr>
      <w:instrText xml:space="preserve"> PAGE </w:instrText>
    </w:r>
    <w:r>
      <w:rPr>
        <w:rFonts w:cs="Arial Unicode MS"/>
        <w:color w:val="666666"/>
        <w:sz w:val="15"/>
      </w:rPr>
      <w:fldChar w:fldCharType="separate"/>
    </w:r>
    <w:r w:rsidR="00205BDE">
      <w:rPr>
        <w:rFonts w:cs="Arial Unicode MS"/>
        <w:noProof/>
        <w:color w:val="666666"/>
        <w:sz w:val="15"/>
        <w:lang w:eastAsia="zh-CN"/>
      </w:rPr>
      <w:t>1</w:t>
    </w:r>
    <w:r>
      <w:rPr>
        <w:rFonts w:cs="Arial Unicode MS"/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84CCAD" w14:textId="77777777" w:rsidR="008D4A38" w:rsidRDefault="008D4A38">
      <w:pPr>
        <w:spacing w:after="0" w:line="240" w:lineRule="auto"/>
      </w:pPr>
      <w:r>
        <w:separator/>
      </w:r>
    </w:p>
  </w:footnote>
  <w:footnote w:type="continuationSeparator" w:id="0">
    <w:p w14:paraId="2322F269" w14:textId="77777777" w:rsidR="008D4A38" w:rsidRDefault="008D4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0805560">
    <w:abstractNumId w:val="8"/>
  </w:num>
  <w:num w:numId="2" w16cid:durableId="1726250820">
    <w:abstractNumId w:val="6"/>
  </w:num>
  <w:num w:numId="3" w16cid:durableId="607852249">
    <w:abstractNumId w:val="5"/>
  </w:num>
  <w:num w:numId="4" w16cid:durableId="1157569366">
    <w:abstractNumId w:val="4"/>
  </w:num>
  <w:num w:numId="5" w16cid:durableId="1237786184">
    <w:abstractNumId w:val="7"/>
  </w:num>
  <w:num w:numId="6" w16cid:durableId="998072486">
    <w:abstractNumId w:val="3"/>
  </w:num>
  <w:num w:numId="7" w16cid:durableId="1623078510">
    <w:abstractNumId w:val="2"/>
  </w:num>
  <w:num w:numId="8" w16cid:durableId="1001393538">
    <w:abstractNumId w:val="1"/>
  </w:num>
  <w:num w:numId="9" w16cid:durableId="14858560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9C0"/>
    <w:rsid w:val="001E34AA"/>
    <w:rsid w:val="00205BDE"/>
    <w:rsid w:val="00255E04"/>
    <w:rsid w:val="0029639D"/>
    <w:rsid w:val="00326F90"/>
    <w:rsid w:val="003A0B81"/>
    <w:rsid w:val="003A52C1"/>
    <w:rsid w:val="00835C83"/>
    <w:rsid w:val="008D4A38"/>
    <w:rsid w:val="00AA1D8D"/>
    <w:rsid w:val="00B36AC1"/>
    <w:rsid w:val="00B47730"/>
    <w:rsid w:val="00CB0664"/>
    <w:rsid w:val="00DA42D8"/>
    <w:rsid w:val="00DB1FEC"/>
    <w:rsid w:val="00E85441"/>
    <w:rsid w:val="00FC693F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B38BA"/>
  <w14:defaultImageDpi w14:val="300"/>
  <w15:docId w15:val="{0213163C-1B09-2041-A450-35456194BB6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78" w:lineRule="auto"/>
    </w:pPr>
    <w:rPr>
      <w:rFonts w:ascii="Arial Unicode MS" w:eastAsia="Arial Unicode MS" w:hAnsi="Arial Unicode MS"/>
      <w:color w:val="222222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color w:val="2E75B6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60" w:after="40"/>
      <w:outlineLvl w:val="2"/>
    </w:pPr>
    <w:rPr>
      <w:rFonts w:asciiTheme="majorHAnsi" w:eastAsiaTheme="majorEastAsia" w:hAnsiTheme="majorHAnsi" w:cstheme="majorBidi"/>
      <w:b/>
      <w:bCs/>
      <w:color w:val="17365D"/>
      <w:sz w:val="1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客户基金资产配置健诊报告</dc:title>
  <dc:subject>脱敏版式示例</dc:subject>
  <dc:creator/>
  <cp:keywords>资产配置,持仓检视,调仓建议</cp:keywords>
  <dc:description/>
  <cp:lastModifiedBy/>
  <cp:revision>2</cp:revision>
  <dcterms:created xsi:type="dcterms:W3CDTF">2026-09-09T04:00:00Z</dcterms:created>
  <dcterms:modified xsi:type="dcterms:W3CDTF">2026-09-09T04:00:00Z</dcterms:modified>
  <cp:category/>
</cp:coreProperties>
</file>