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82340" cy="3048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unit increase in mother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age associate with a 0.008 increase in the expected to log of the hazard , holding infant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gender constant.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0.08 decrease in the expected log of hazard for female babies compared to male,holding mother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age constant.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07820" cy="533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hazard ratio of female babies is 0.92 that of male babies, female babies are less likely to die(92 female babies die for every 100 male babies; female deaths are 8% lower)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unit increase of mother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age associate with hazard by 1.0076.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jNjlmNzg5MjcxMjU5ZmVkNTU0ZDM1NDA1ZWY4YTAifQ=="/>
  </w:docVars>
  <w:rsids>
    <w:rsidRoot w:val="35492705"/>
    <w:rsid w:val="35492705"/>
    <w:rsid w:val="4C786019"/>
    <w:rsid w:val="547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2024-04-01T22:12:00Z</dcterms:created>
  <dc:creator>流鸢つ</dc:creator>
  <cp:lastModifiedBy>流鸢つ</cp:lastModifiedBy>
  <dcterms:modified xsi:type="dcterms:W3CDTF">2024-04-01T23:19:25Z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65899C96757E4342BFF6F7642181D5C4_11</vt:lpwstr>
  </property>
</Properties>
</file>