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pStyle w:val="BodyText"/>
        <w:ind w:left="291"/>
        <w:spacing w:before="109" w:line="219" w:lineRule="auto"/>
        <w:rPr>
          <w:sz w:val="28"/>
          <w:szCs w:val="28"/>
        </w:rPr>
      </w:pPr>
      <w:r>
        <w:rPr>
          <w:sz w:val="28"/>
          <w:szCs w:val="28"/>
          <w:b/>
          <w:bCs/>
          <w:spacing w:val="-17"/>
        </w:rPr>
        <w:t>附件2-1</w:t>
      </w:r>
    </w:p>
    <w:p>
      <w:pPr>
        <w:pStyle w:val="BodyText"/>
        <w:ind w:left="969"/>
        <w:spacing w:before="219" w:line="225" w:lineRule="auto"/>
        <w:rPr>
          <w:sz w:val="31"/>
          <w:szCs w:val="31"/>
        </w:rPr>
      </w:pPr>
      <w:r>
        <w:rPr>
          <w:sz w:val="31"/>
          <w:szCs w:val="31"/>
          <w:b/>
          <w:bCs/>
          <w:spacing w:val="-8"/>
        </w:rPr>
        <w:t>2027年第十届中国大学生工程实践与创新能力大赛</w:t>
      </w:r>
    </w:p>
    <w:p>
      <w:pPr>
        <w:pStyle w:val="BodyText"/>
        <w:ind w:left="914"/>
        <w:spacing w:before="261" w:line="223" w:lineRule="auto"/>
        <w:rPr>
          <w:sz w:val="43"/>
          <w:szCs w:val="43"/>
        </w:rPr>
      </w:pPr>
      <w:r>
        <w:rPr>
          <w:sz w:val="43"/>
          <w:szCs w:val="43"/>
          <w:b/>
          <w:bCs/>
          <w:spacing w:val="4"/>
        </w:rPr>
        <w:t>智能+工程创新赛道竞赛命题与运行</w:t>
      </w:r>
    </w:p>
    <w:p>
      <w:pPr>
        <w:spacing w:line="249" w:lineRule="auto"/>
        <w:rPr>
          <w:rFonts w:ascii="Arial"/>
          <w:sz w:val="21"/>
        </w:rPr>
      </w:pPr>
      <w:r/>
    </w:p>
    <w:p>
      <w:pPr>
        <w:spacing w:line="250" w:lineRule="auto"/>
        <w:rPr>
          <w:rFonts w:ascii="Arial"/>
          <w:sz w:val="21"/>
        </w:rPr>
      </w:pPr>
      <w:r/>
    </w:p>
    <w:p>
      <w:pPr>
        <w:pStyle w:val="BodyText"/>
        <w:ind w:right="159" w:firstLine="503"/>
        <w:spacing w:before="78" w:line="359" w:lineRule="auto"/>
        <w:jc w:val="both"/>
        <w:rPr/>
      </w:pPr>
      <w:r>
        <w:rPr/>
        <w:t>中国大学生工程实践与创新能力大赛智能+工程创新</w:t>
      </w:r>
      <w:r>
        <w:rPr>
          <w:spacing w:val="-1"/>
        </w:rPr>
        <w:t>赛道紧扣十五五 “全面实</w:t>
      </w:r>
      <w:r>
        <w:rPr>
          <w:spacing w:val="-1"/>
        </w:rPr>
        <w:t>施人工智能 + 行动</w:t>
      </w:r>
      <w:r>
        <w:rPr>
          <w:spacing w:val="-88"/>
        </w:rPr>
        <w:t xml:space="preserve"> </w:t>
      </w:r>
      <w:r>
        <w:rPr>
          <w:spacing w:val="-1"/>
        </w:rPr>
        <w:t>” 与 “教育科技人才一体</w:t>
      </w:r>
      <w:r>
        <w:rPr>
          <w:spacing w:val="-2"/>
        </w:rPr>
        <w:t>发展</w:t>
      </w:r>
      <w:r>
        <w:rPr>
          <w:spacing w:val="-85"/>
        </w:rPr>
        <w:t xml:space="preserve"> </w:t>
      </w:r>
      <w:r>
        <w:rPr>
          <w:spacing w:val="-2"/>
        </w:rPr>
        <w:t>” 核心，以新质生产力赋能实</w:t>
      </w:r>
      <w:r>
        <w:rPr/>
        <w:t>体经济为导向，聚焦智能制造、工业大模型、具身智能等重点领域，适配工程教育</w:t>
      </w:r>
      <w:r>
        <w:rPr>
          <w:spacing w:val="-1"/>
        </w:rPr>
        <w:t>与智能制造人才培养需求，推动技术攻关与场景落地深度结合。</w:t>
      </w:r>
    </w:p>
    <w:p>
      <w:pPr>
        <w:pStyle w:val="BodyText"/>
        <w:ind w:left="2" w:right="159" w:firstLine="483"/>
        <w:spacing w:before="5" w:line="359" w:lineRule="auto"/>
        <w:jc w:val="both"/>
        <w:rPr/>
      </w:pPr>
      <w:r>
        <w:rPr>
          <w:spacing w:val="4"/>
        </w:rPr>
        <w:t>智能+工程创新赛道包括智能搬运、智能分拣、智能</w:t>
      </w:r>
      <w:r>
        <w:rPr>
          <w:spacing w:val="3"/>
        </w:rPr>
        <w:t>救援三个赛项。本赛道以</w:t>
      </w:r>
      <w:r>
        <w:rPr/>
        <w:t>人工智能和大数据等技术的行业应用和未来发展为主题，将人工智能和大数据等技</w:t>
      </w:r>
      <w:r>
        <w:rPr/>
        <w:t>术应用于智能搬运、智能分拣、智能救援等应用场景，开发制造具有智能化且外观</w:t>
      </w:r>
      <w:r>
        <w:rPr/>
        <w:t>美观的作品。重点锻炼跨学科团队协作、核心技术攻关、工程化落地与标准化交付</w:t>
      </w:r>
      <w:r>
        <w:rPr>
          <w:spacing w:val="-2"/>
        </w:rPr>
        <w:t>能力，培育“智能+制造+民生+应急</w:t>
      </w:r>
      <w:r>
        <w:rPr>
          <w:spacing w:val="-87"/>
        </w:rPr>
        <w:t xml:space="preserve"> </w:t>
      </w:r>
      <w:r>
        <w:rPr>
          <w:spacing w:val="-2"/>
        </w:rPr>
        <w:t>”复合型人才</w:t>
      </w:r>
    </w:p>
    <w:p>
      <w:pPr>
        <w:ind w:left="10"/>
        <w:spacing w:before="64" w:line="222" w:lineRule="auto"/>
        <w:outlineLvl w:val="0"/>
        <w:rPr>
          <w:rFonts w:ascii="SimHei" w:hAnsi="SimHei" w:eastAsia="SimHei" w:cs="SimHei"/>
          <w:sz w:val="30"/>
          <w:szCs w:val="30"/>
        </w:rPr>
      </w:pPr>
      <w:r>
        <w:rPr>
          <w:rFonts w:ascii="SimHei" w:hAnsi="SimHei" w:eastAsia="SimHei" w:cs="SimHei"/>
          <w:sz w:val="30"/>
          <w:szCs w:val="30"/>
          <w:spacing w:val="-3"/>
        </w:rPr>
        <w:t>一、智能搬运赛项</w:t>
      </w:r>
    </w:p>
    <w:p>
      <w:pPr>
        <w:pStyle w:val="BodyText"/>
        <w:ind w:right="159" w:firstLine="481"/>
        <w:spacing w:before="178" w:line="362" w:lineRule="auto"/>
        <w:rPr/>
      </w:pPr>
      <w:r>
        <w:rPr>
          <w:spacing w:val="-1"/>
        </w:rPr>
        <w:t>本赛项聚焦十五五“制造业数字化、智能化、绿色化升级</w:t>
      </w:r>
      <w:r>
        <w:rPr>
          <w:spacing w:val="-76"/>
        </w:rPr>
        <w:t xml:space="preserve"> </w:t>
      </w:r>
      <w:r>
        <w:rPr>
          <w:spacing w:val="-1"/>
        </w:rPr>
        <w:t>”要求，覆盖智能制</w:t>
      </w:r>
      <w:r>
        <w:rPr>
          <w:spacing w:val="-2"/>
        </w:rPr>
        <w:t>造核心环节。</w:t>
      </w:r>
    </w:p>
    <w:p>
      <w:pPr>
        <w:ind w:left="19"/>
        <w:spacing w:before="57" w:line="222" w:lineRule="auto"/>
        <w:outlineLvl w:val="0"/>
        <w:rPr>
          <w:rFonts w:ascii="SimHei" w:hAnsi="SimHei" w:eastAsia="SimHei" w:cs="SimHei"/>
          <w:sz w:val="28"/>
          <w:szCs w:val="28"/>
        </w:rPr>
      </w:pPr>
      <w:r>
        <w:rPr>
          <w:rFonts w:ascii="SimHei" w:hAnsi="SimHei" w:eastAsia="SimHei" w:cs="SimHei"/>
          <w:sz w:val="28"/>
          <w:szCs w:val="28"/>
          <w:spacing w:val="-2"/>
        </w:rPr>
        <w:t>1、对参赛作品/内容的要求</w:t>
      </w:r>
    </w:p>
    <w:p>
      <w:pPr>
        <w:pStyle w:val="BodyText"/>
        <w:ind w:firstLine="480"/>
        <w:spacing w:before="169" w:line="360" w:lineRule="auto"/>
        <w:jc w:val="both"/>
        <w:rPr/>
      </w:pPr>
      <w:r>
        <w:rPr>
          <w:spacing w:val="-2"/>
        </w:rPr>
        <w:t>本赛项结合制造企业生产的实际应用场景，采用人工智能和大数据等先进技术，</w:t>
      </w:r>
      <w:r>
        <w:rPr/>
        <w:t>要求参赛队自主设计并制作一台按照给定任务自主完成智能制造过程中零件搬运及</w:t>
      </w:r>
      <w:r>
        <w:rPr>
          <w:spacing w:val="-3"/>
        </w:rPr>
        <w:t>装配的低能耗智能搬运机器人（简称：搬运机器人）。 除标准件外，非标零件应自</w:t>
      </w:r>
      <w:r>
        <w:rPr/>
        <w:t>主设计和制造，不允许使用购买的成品或采用成品套件拼装而成。搬运机器人在指</w:t>
      </w:r>
      <w:r>
        <w:rPr/>
        <w:t>定的工业场景内按任务要求将物料搬运至指定</w:t>
      </w:r>
      <w:r>
        <w:rPr>
          <w:spacing w:val="-1"/>
        </w:rPr>
        <w:t>地点且精准摆放及装配。</w:t>
      </w:r>
    </w:p>
    <w:p>
      <w:pPr>
        <w:pStyle w:val="BodyText"/>
        <w:ind w:left="25"/>
        <w:spacing w:before="63" w:line="221" w:lineRule="auto"/>
        <w:rPr>
          <w:sz w:val="28"/>
          <w:szCs w:val="28"/>
        </w:rPr>
      </w:pPr>
      <w:r>
        <w:rPr>
          <w:sz w:val="28"/>
          <w:szCs w:val="28"/>
          <w:b/>
          <w:bCs/>
          <w:spacing w:val="-8"/>
        </w:rPr>
        <w:t>1)功能要求</w:t>
      </w:r>
    </w:p>
    <w:p>
      <w:pPr>
        <w:pStyle w:val="BodyText"/>
        <w:ind w:left="3" w:right="159" w:firstLine="476"/>
        <w:spacing w:before="175" w:line="360" w:lineRule="auto"/>
        <w:jc w:val="both"/>
        <w:rPr/>
      </w:pPr>
      <w:r>
        <w:rPr/>
        <w:t>在比赛过程中，搬运机器人必须完全自主运行，应具有定位、移动、避障，读</w:t>
      </w:r>
      <w:r>
        <w:rPr/>
        <w:t>取二维码、条码、图形、数字、文字、颜色，无线通信、物料位置、颜色和形状识</w:t>
      </w:r>
      <w:r>
        <w:rPr/>
        <w:t>别、物料抓取、载运及旋转定位、路径规划、任务完成情况统计等功能。</w:t>
      </w:r>
      <w:r>
        <w:rPr>
          <w:b/>
          <w:bCs/>
        </w:rPr>
        <w:t>该作</w:t>
      </w:r>
      <w:r>
        <w:rPr>
          <w:b/>
          <w:bCs/>
          <w:spacing w:val="-1"/>
        </w:rPr>
        <w:t>品必</w:t>
      </w:r>
      <w:r>
        <w:rPr>
          <w:b/>
          <w:bCs/>
          <w:spacing w:val="-3"/>
        </w:rPr>
        <w:t>须适应现场竞赛环境</w:t>
      </w:r>
      <w:r>
        <w:rPr>
          <w:spacing w:val="-3"/>
        </w:rPr>
        <w:t>。</w:t>
      </w:r>
    </w:p>
    <w:p>
      <w:pPr>
        <w:pStyle w:val="BodyText"/>
        <w:ind w:left="8"/>
        <w:spacing w:before="58" w:line="221" w:lineRule="auto"/>
        <w:rPr>
          <w:sz w:val="28"/>
          <w:szCs w:val="28"/>
        </w:rPr>
      </w:pPr>
      <w:r>
        <w:rPr>
          <w:sz w:val="28"/>
          <w:szCs w:val="28"/>
          <w:b/>
          <w:bCs/>
          <w:spacing w:val="-4"/>
        </w:rPr>
        <w:t>2)电控及驱动要求</w:t>
      </w:r>
    </w:p>
    <w:p>
      <w:pPr>
        <w:spacing w:line="221" w:lineRule="auto"/>
        <w:sectPr>
          <w:footerReference w:type="default" r:id="rId1"/>
          <w:pgSz w:w="11920" w:h="16840"/>
          <w:pgMar w:top="1431" w:right="1420" w:bottom="915" w:left="1686" w:header="0" w:footer="751" w:gutter="0"/>
        </w:sectPr>
        <w:rPr>
          <w:sz w:val="28"/>
          <w:szCs w:val="28"/>
        </w:rPr>
      </w:pPr>
    </w:p>
    <w:p>
      <w:pPr>
        <w:pStyle w:val="BodyText"/>
        <w:ind w:firstLine="481"/>
        <w:spacing w:before="100" w:line="360" w:lineRule="auto"/>
        <w:jc w:val="both"/>
        <w:rPr/>
      </w:pPr>
      <w:r>
        <w:rPr/>
        <w:t>搬运机器人所用传感器和电机的种类及数量不限，必须配备任务码显示装置，</w:t>
      </w:r>
      <w:r>
        <w:rPr/>
        <w:t>该装置必须放置在搬运机器人上部醒目位置，亮光显示，且不被任何物体遮挡，</w:t>
      </w:r>
      <w:r>
        <w:rPr>
          <w:b/>
          <w:bCs/>
        </w:rPr>
        <w:t>字</w:t>
      </w:r>
      <w:r>
        <w:rPr>
          <w:b/>
          <w:bCs/>
          <w:spacing w:val="4"/>
        </w:rPr>
        <w:t>体高度不小于</w:t>
      </w:r>
      <w:r>
        <w:rPr>
          <w:spacing w:val="-26"/>
        </w:rPr>
        <w:t xml:space="preserve"> </w:t>
      </w:r>
      <w:r>
        <w:rPr>
          <w:b/>
          <w:bCs/>
          <w:spacing w:val="4"/>
        </w:rPr>
        <w:t>12</w:t>
      </w:r>
      <w:r>
        <w:rPr>
          <w:b/>
          <w:bCs/>
        </w:rPr>
        <w:t>mm</w:t>
      </w:r>
      <w:r>
        <w:rPr>
          <w:b/>
          <w:bCs/>
          <w:spacing w:val="4"/>
        </w:rPr>
        <w:t>，</w:t>
      </w:r>
      <w:r>
        <w:rPr>
          <w:spacing w:val="4"/>
        </w:rPr>
        <w:t>该装置能够显示所有任务码及完成情况</w:t>
      </w:r>
      <w:r>
        <w:rPr>
          <w:spacing w:val="3"/>
        </w:rPr>
        <w:t>信息。搬运机器人只</w:t>
      </w:r>
      <w:r>
        <w:rPr/>
        <w:t>能使用</w:t>
      </w:r>
      <w:r>
        <w:rPr>
          <w:b/>
          <w:bCs/>
        </w:rPr>
        <w:t>一个</w:t>
      </w:r>
      <w:r>
        <w:rPr/>
        <w:t>装在搬运机器人内部的电源（电源种类不限，不能使用液体及对环境有</w:t>
      </w:r>
      <w:r>
        <w:rPr>
          <w:spacing w:val="-1"/>
        </w:rPr>
        <w:t>腐蚀及污染的电源</w:t>
      </w:r>
      <w:r>
        <w:rPr>
          <w:spacing w:val="24"/>
        </w:rPr>
        <w:t>），</w:t>
      </w:r>
      <w:r>
        <w:rPr>
          <w:spacing w:val="-1"/>
        </w:rPr>
        <w:t>比赛过程中（含调试）不能更换。比赛过程中，允许与笔记</w:t>
      </w:r>
      <w:r>
        <w:rPr/>
        <w:t>本电脑进行通讯</w:t>
      </w:r>
      <w:r>
        <w:rPr>
          <w:b/>
          <w:bCs/>
        </w:rPr>
        <w:t>，</w:t>
      </w:r>
      <w:r>
        <w:rPr/>
        <w:t>运行过程中</w:t>
      </w:r>
      <w:r>
        <w:rPr>
          <w:b/>
          <w:bCs/>
        </w:rPr>
        <w:t>不能触碰</w:t>
      </w:r>
      <w:r>
        <w:rPr/>
        <w:t>笔记本电脑，不能</w:t>
      </w:r>
      <w:r>
        <w:rPr>
          <w:b/>
          <w:bCs/>
        </w:rPr>
        <w:t>用</w:t>
      </w:r>
      <w:r>
        <w:rPr/>
        <w:t>任何方式对搬运机</w:t>
      </w:r>
      <w:r>
        <w:rPr>
          <w:spacing w:val="-1"/>
        </w:rPr>
        <w:t>器人</w:t>
      </w:r>
      <w:r>
        <w:rPr>
          <w:spacing w:val="-1"/>
        </w:rPr>
        <w:t>进行遥控。不允许对场地遮挡，仅</w:t>
      </w:r>
      <w:r>
        <w:rPr>
          <w:b/>
          <w:bCs/>
          <w:spacing w:val="-1"/>
        </w:rPr>
        <w:t>允许垂直向下补光</w:t>
      </w:r>
      <w:r>
        <w:rPr>
          <w:spacing w:val="-1"/>
        </w:rPr>
        <w:t>。</w:t>
      </w:r>
    </w:p>
    <w:p>
      <w:pPr>
        <w:pStyle w:val="BodyText"/>
        <w:ind w:left="11"/>
        <w:spacing w:before="61" w:line="219" w:lineRule="auto"/>
        <w:rPr>
          <w:sz w:val="28"/>
          <w:szCs w:val="28"/>
        </w:rPr>
      </w:pPr>
      <w:r>
        <w:rPr>
          <w:sz w:val="28"/>
          <w:szCs w:val="28"/>
          <w:b/>
          <w:bCs/>
          <w:spacing w:val="-4"/>
        </w:rPr>
        <w:t>3)机械结构要求</w:t>
      </w:r>
    </w:p>
    <w:p>
      <w:pPr>
        <w:pStyle w:val="BodyText"/>
        <w:ind w:left="7" w:right="2" w:firstLine="513"/>
        <w:spacing w:before="176" w:line="360" w:lineRule="auto"/>
        <w:rPr/>
      </w:pPr>
      <w:r>
        <w:rPr>
          <w:spacing w:val="-1"/>
        </w:rPr>
        <w:t>自主设计并制造搬运机器人的机械部分，搬运机器人的行走方式、机械手臂的</w:t>
      </w:r>
      <w:r>
        <w:rPr>
          <w:spacing w:val="-1"/>
        </w:rPr>
        <w:t>结构形式均不限制。比赛过程中（含调试）不能更换任何零部件。</w:t>
      </w:r>
    </w:p>
    <w:p>
      <w:pPr>
        <w:pStyle w:val="BodyText"/>
        <w:ind w:left="4"/>
        <w:spacing w:before="62" w:line="219" w:lineRule="auto"/>
        <w:rPr>
          <w:sz w:val="28"/>
          <w:szCs w:val="28"/>
        </w:rPr>
      </w:pPr>
      <w:r>
        <w:rPr>
          <w:sz w:val="28"/>
          <w:szCs w:val="28"/>
          <w:b/>
          <w:bCs/>
          <w:spacing w:val="-4"/>
        </w:rPr>
        <w:t>4)外形尺寸及要求</w:t>
      </w:r>
    </w:p>
    <w:p>
      <w:pPr>
        <w:pStyle w:val="BodyText"/>
        <w:ind w:left="2" w:right="2" w:firstLine="479"/>
        <w:spacing w:before="176" w:line="359" w:lineRule="auto"/>
        <w:jc w:val="both"/>
        <w:rPr/>
      </w:pPr>
      <w:r>
        <w:rPr>
          <w:spacing w:val="15"/>
        </w:rPr>
        <w:t>搬运机器人（含机械手臂）最大外形尺寸满足铅垂方向投影不大于边长为</w:t>
      </w:r>
      <w:r>
        <w:rPr>
          <w:spacing w:val="2"/>
        </w:rPr>
        <w:t>300</w:t>
      </w:r>
      <w:r>
        <w:rPr/>
        <w:t>mm</w:t>
      </w:r>
      <w:r>
        <w:rPr>
          <w:spacing w:val="-16"/>
        </w:rPr>
        <w:t xml:space="preserve"> </w:t>
      </w:r>
      <w:r>
        <w:rPr>
          <w:spacing w:val="2"/>
        </w:rPr>
        <w:t>的正方形，高度不超过</w:t>
      </w:r>
      <w:r>
        <w:rPr>
          <w:spacing w:val="-46"/>
        </w:rPr>
        <w:t xml:space="preserve"> </w:t>
      </w:r>
      <w:r>
        <w:rPr>
          <w:spacing w:val="2"/>
        </w:rPr>
        <w:t>400</w:t>
      </w:r>
      <w:r>
        <w:rPr/>
        <w:t>mm</w:t>
      </w:r>
      <w:r>
        <w:rPr>
          <w:spacing w:val="2"/>
        </w:rPr>
        <w:t>，包括所有软质线路等都必须在此尺寸范围内</w:t>
      </w:r>
      <w:r>
        <w:rPr/>
        <w:t>方可参赛。允许搬运机器人的机械臂结构为可折叠形式，但出发后方可自行展开，</w:t>
      </w:r>
      <w:r>
        <w:rPr>
          <w:spacing w:val="-1"/>
        </w:rPr>
        <w:t>展开后尺寸不受上述限制。</w:t>
      </w:r>
    </w:p>
    <w:p>
      <w:pPr>
        <w:pStyle w:val="BodyText"/>
        <w:ind w:left="7" w:right="2" w:firstLine="478"/>
        <w:spacing w:line="362" w:lineRule="auto"/>
        <w:rPr/>
      </w:pPr>
      <w:r>
        <w:rPr/>
        <w:t>如果不符合上述各项要求，取消比赛资格；若已经参赛，发现或投诉并情况属</w:t>
      </w:r>
      <w:r>
        <w:rPr>
          <w:spacing w:val="-2"/>
        </w:rPr>
        <w:t>实取消比赛成绩。</w:t>
      </w:r>
    </w:p>
    <w:p>
      <w:pPr>
        <w:ind w:left="3"/>
        <w:spacing w:before="58" w:line="222" w:lineRule="auto"/>
        <w:outlineLvl w:val="0"/>
        <w:rPr>
          <w:rFonts w:ascii="SimHei" w:hAnsi="SimHei" w:eastAsia="SimHei" w:cs="SimHei"/>
          <w:sz w:val="28"/>
          <w:szCs w:val="28"/>
        </w:rPr>
      </w:pPr>
      <w:r>
        <w:rPr>
          <w:rFonts w:ascii="SimHei" w:hAnsi="SimHei" w:eastAsia="SimHei" w:cs="SimHei"/>
          <w:sz w:val="28"/>
          <w:szCs w:val="28"/>
          <w:spacing w:val="-2"/>
        </w:rPr>
        <w:t>2、赛程安排</w:t>
      </w:r>
    </w:p>
    <w:p>
      <w:pPr>
        <w:pStyle w:val="BodyText"/>
        <w:ind w:left="481"/>
        <w:spacing w:before="170" w:line="219" w:lineRule="auto"/>
        <w:rPr/>
      </w:pPr>
      <w:r>
        <w:rPr>
          <w:spacing w:val="-1"/>
        </w:rPr>
        <w:t>搬运机器人赛项由初赛和决赛组成。</w:t>
      </w:r>
    </w:p>
    <w:p>
      <w:pPr>
        <w:pStyle w:val="BodyText"/>
        <w:ind w:right="2" w:firstLine="480"/>
        <w:spacing w:before="185" w:line="358" w:lineRule="auto"/>
        <w:rPr/>
      </w:pPr>
      <w:r>
        <w:rPr/>
        <w:t>初赛由任务命题文档、作品创意设计和现场初赛三个环节组成，根据初赛成绩</w:t>
      </w:r>
      <w:r>
        <w:rPr/>
        <w:t>及晋级比例确定晋级决赛的参赛队，初赛成绩不带入决赛。决赛由创新实践和现场</w:t>
      </w:r>
      <w:r>
        <w:rPr>
          <w:spacing w:val="-3"/>
        </w:rPr>
        <w:t>决赛两个环节组成。各竞赛环节如表</w:t>
      </w:r>
      <w:r>
        <w:rPr>
          <w:spacing w:val="-19"/>
        </w:rPr>
        <w:t xml:space="preserve"> </w:t>
      </w:r>
      <w:r>
        <w:rPr>
          <w:spacing w:val="-3"/>
        </w:rPr>
        <w:t>1</w:t>
      </w:r>
      <w:r>
        <w:rPr>
          <w:spacing w:val="-51"/>
        </w:rPr>
        <w:t xml:space="preserve"> </w:t>
      </w:r>
      <w:r>
        <w:rPr>
          <w:spacing w:val="-3"/>
        </w:rPr>
        <w:t>所示。</w:t>
      </w:r>
    </w:p>
    <w:p>
      <w:pPr>
        <w:pStyle w:val="BodyText"/>
        <w:ind w:left="2939"/>
        <w:spacing w:before="1" w:line="227" w:lineRule="auto"/>
        <w:rPr>
          <w:sz w:val="20"/>
          <w:szCs w:val="20"/>
        </w:rPr>
      </w:pPr>
      <w:r>
        <w:rPr>
          <w:sz w:val="20"/>
          <w:szCs w:val="20"/>
          <w:spacing w:val="7"/>
        </w:rPr>
        <w:t>表</w:t>
      </w:r>
      <w:r>
        <w:rPr>
          <w:sz w:val="20"/>
          <w:szCs w:val="20"/>
          <w:spacing w:val="-24"/>
        </w:rPr>
        <w:t xml:space="preserve"> </w:t>
      </w:r>
      <w:r>
        <w:rPr>
          <w:sz w:val="20"/>
          <w:szCs w:val="20"/>
          <w:spacing w:val="7"/>
        </w:rPr>
        <w:t>1 智能物流搬运赛项各环节</w:t>
      </w:r>
    </w:p>
    <w:p>
      <w:pPr>
        <w:spacing w:line="130" w:lineRule="exact"/>
        <w:rPr/>
      </w:pPr>
      <w:r/>
    </w:p>
    <w:tbl>
      <w:tblPr>
        <w:tblStyle w:val="TableNormal"/>
        <w:tblW w:w="4915" w:type="dxa"/>
        <w:tblInd w:w="1866"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780"/>
        <w:gridCol w:w="1235"/>
        <w:gridCol w:w="709"/>
        <w:gridCol w:w="2191"/>
      </w:tblGrid>
      <w:tr>
        <w:trPr>
          <w:trHeight w:val="417" w:hRule="atLeast"/>
        </w:trPr>
        <w:tc>
          <w:tcPr>
            <w:tcW w:w="780" w:type="dxa"/>
            <w:vAlign w:val="top"/>
          </w:tcPr>
          <w:p>
            <w:pPr>
              <w:pStyle w:val="TableText"/>
              <w:ind w:left="185"/>
              <w:spacing w:before="35" w:line="229" w:lineRule="auto"/>
              <w:rPr/>
            </w:pPr>
            <w:r>
              <w:rPr>
                <w:b/>
                <w:bCs/>
                <w:spacing w:val="4"/>
              </w:rPr>
              <w:t>序号</w:t>
            </w:r>
          </w:p>
        </w:tc>
        <w:tc>
          <w:tcPr>
            <w:tcW w:w="1235" w:type="dxa"/>
            <w:vAlign w:val="top"/>
          </w:tcPr>
          <w:p>
            <w:pPr>
              <w:pStyle w:val="TableText"/>
              <w:ind w:left="411"/>
              <w:spacing w:before="35" w:line="228" w:lineRule="auto"/>
              <w:rPr/>
            </w:pPr>
            <w:r>
              <w:rPr>
                <w:b/>
                <w:bCs/>
                <w:spacing w:val="3"/>
              </w:rPr>
              <w:t>环节</w:t>
            </w:r>
          </w:p>
        </w:tc>
        <w:tc>
          <w:tcPr>
            <w:tcW w:w="709" w:type="dxa"/>
            <w:vAlign w:val="top"/>
          </w:tcPr>
          <w:p>
            <w:pPr>
              <w:pStyle w:val="TableText"/>
              <w:ind w:left="149"/>
              <w:spacing w:before="35" w:line="228" w:lineRule="auto"/>
              <w:rPr/>
            </w:pPr>
            <w:r>
              <w:rPr>
                <w:b/>
                <w:bCs/>
                <w:spacing w:val="3"/>
              </w:rPr>
              <w:t>赛程</w:t>
            </w:r>
          </w:p>
        </w:tc>
        <w:tc>
          <w:tcPr>
            <w:tcW w:w="2191" w:type="dxa"/>
            <w:vAlign w:val="top"/>
          </w:tcPr>
          <w:p>
            <w:pPr>
              <w:pStyle w:val="TableText"/>
              <w:ind w:left="201"/>
              <w:spacing w:before="35" w:line="228" w:lineRule="auto"/>
              <w:rPr/>
            </w:pPr>
            <w:r>
              <w:rPr>
                <w:b/>
                <w:bCs/>
                <w:spacing w:val="7"/>
              </w:rPr>
              <w:t>评分项目/赛程内容</w:t>
            </w:r>
          </w:p>
        </w:tc>
      </w:tr>
      <w:tr>
        <w:trPr>
          <w:trHeight w:val="413" w:hRule="atLeast"/>
        </w:trPr>
        <w:tc>
          <w:tcPr>
            <w:tcW w:w="780" w:type="dxa"/>
            <w:vAlign w:val="top"/>
          </w:tcPr>
          <w:p>
            <w:pPr>
              <w:pStyle w:val="TableText"/>
              <w:ind w:left="357"/>
              <w:spacing w:before="33" w:line="270" w:lineRule="exact"/>
              <w:rPr/>
            </w:pPr>
            <w:r>
              <w:rPr>
                <w:position w:val="1"/>
              </w:rPr>
              <w:t>1</w:t>
            </w:r>
          </w:p>
        </w:tc>
        <w:tc>
          <w:tcPr>
            <w:tcW w:w="1235" w:type="dxa"/>
            <w:vAlign w:val="top"/>
          </w:tcPr>
          <w:p>
            <w:pPr>
              <w:pStyle w:val="TableText"/>
              <w:ind w:left="202"/>
              <w:spacing w:before="33" w:line="228" w:lineRule="auto"/>
              <w:rPr/>
            </w:pPr>
            <w:r>
              <w:rPr>
                <w:spacing w:val="7"/>
              </w:rPr>
              <w:t>第一环节</w:t>
            </w:r>
          </w:p>
        </w:tc>
        <w:tc>
          <w:tcPr>
            <w:tcW w:w="709" w:type="dxa"/>
            <w:vAlign w:val="top"/>
            <w:vMerge w:val="restart"/>
            <w:tcBorders>
              <w:bottom w:val="nil"/>
            </w:tcBorders>
          </w:tcPr>
          <w:p>
            <w:pPr>
              <w:spacing w:line="383" w:lineRule="auto"/>
              <w:rPr>
                <w:rFonts w:ascii="Arial"/>
                <w:sz w:val="21"/>
              </w:rPr>
            </w:pPr>
            <w:r/>
          </w:p>
          <w:p>
            <w:pPr>
              <w:pStyle w:val="TableText"/>
              <w:ind w:left="150"/>
              <w:spacing w:before="65" w:line="228" w:lineRule="auto"/>
              <w:rPr/>
            </w:pPr>
            <w:r>
              <w:rPr>
                <w:spacing w:val="5"/>
              </w:rPr>
              <w:t>初赛</w:t>
            </w:r>
          </w:p>
        </w:tc>
        <w:tc>
          <w:tcPr>
            <w:tcW w:w="2191" w:type="dxa"/>
            <w:vAlign w:val="top"/>
          </w:tcPr>
          <w:p>
            <w:pPr>
              <w:pStyle w:val="TableText"/>
              <w:ind w:left="468"/>
              <w:spacing w:before="33" w:line="228" w:lineRule="auto"/>
              <w:rPr/>
            </w:pPr>
            <w:r>
              <w:rPr>
                <w:spacing w:val="8"/>
              </w:rPr>
              <w:t>任务命题文档</w:t>
            </w:r>
          </w:p>
        </w:tc>
      </w:tr>
      <w:tr>
        <w:trPr>
          <w:trHeight w:val="413" w:hRule="atLeast"/>
        </w:trPr>
        <w:tc>
          <w:tcPr>
            <w:tcW w:w="780" w:type="dxa"/>
            <w:vAlign w:val="top"/>
          </w:tcPr>
          <w:p>
            <w:pPr>
              <w:pStyle w:val="TableText"/>
              <w:ind w:left="344"/>
              <w:spacing w:before="33" w:line="270" w:lineRule="exact"/>
              <w:rPr/>
            </w:pPr>
            <w:r>
              <w:rPr>
                <w:position w:val="1"/>
              </w:rPr>
              <w:t>2</w:t>
            </w:r>
          </w:p>
        </w:tc>
        <w:tc>
          <w:tcPr>
            <w:tcW w:w="1235" w:type="dxa"/>
            <w:vAlign w:val="top"/>
          </w:tcPr>
          <w:p>
            <w:pPr>
              <w:pStyle w:val="TableText"/>
              <w:ind w:left="202"/>
              <w:spacing w:before="32" w:line="228" w:lineRule="auto"/>
              <w:rPr/>
            </w:pPr>
            <w:r>
              <w:rPr>
                <w:spacing w:val="7"/>
              </w:rPr>
              <w:t>第二环节</w:t>
            </w:r>
          </w:p>
        </w:tc>
        <w:tc>
          <w:tcPr>
            <w:tcW w:w="709" w:type="dxa"/>
            <w:vAlign w:val="top"/>
            <w:vMerge w:val="continue"/>
            <w:tcBorders>
              <w:top w:val="nil"/>
              <w:bottom w:val="nil"/>
            </w:tcBorders>
          </w:tcPr>
          <w:p>
            <w:pPr>
              <w:rPr>
                <w:rFonts w:ascii="Arial"/>
                <w:sz w:val="21"/>
              </w:rPr>
            </w:pPr>
            <w:r/>
          </w:p>
        </w:tc>
        <w:tc>
          <w:tcPr>
            <w:tcW w:w="2191" w:type="dxa"/>
            <w:vAlign w:val="top"/>
          </w:tcPr>
          <w:p>
            <w:pPr>
              <w:pStyle w:val="TableText"/>
              <w:ind w:left="469"/>
              <w:spacing w:before="33" w:line="228" w:lineRule="auto"/>
              <w:rPr/>
            </w:pPr>
            <w:r>
              <w:rPr>
                <w:spacing w:val="8"/>
              </w:rPr>
              <w:t>作品创意设计</w:t>
            </w:r>
          </w:p>
        </w:tc>
      </w:tr>
      <w:tr>
        <w:trPr>
          <w:trHeight w:val="413" w:hRule="atLeast"/>
        </w:trPr>
        <w:tc>
          <w:tcPr>
            <w:tcW w:w="780" w:type="dxa"/>
            <w:vAlign w:val="top"/>
          </w:tcPr>
          <w:p>
            <w:pPr>
              <w:pStyle w:val="TableText"/>
              <w:ind w:left="346"/>
              <w:spacing w:before="32" w:line="269" w:lineRule="exact"/>
              <w:rPr/>
            </w:pPr>
            <w:r>
              <w:rPr>
                <w:position w:val="1"/>
              </w:rPr>
              <w:t>3</w:t>
            </w:r>
          </w:p>
        </w:tc>
        <w:tc>
          <w:tcPr>
            <w:tcW w:w="1235" w:type="dxa"/>
            <w:vAlign w:val="top"/>
          </w:tcPr>
          <w:p>
            <w:pPr>
              <w:pStyle w:val="TableText"/>
              <w:ind w:left="202"/>
              <w:spacing w:before="32" w:line="228" w:lineRule="auto"/>
              <w:rPr/>
            </w:pPr>
            <w:r>
              <w:rPr>
                <w:spacing w:val="7"/>
              </w:rPr>
              <w:t>第三环节</w:t>
            </w:r>
          </w:p>
        </w:tc>
        <w:tc>
          <w:tcPr>
            <w:tcW w:w="709" w:type="dxa"/>
            <w:vAlign w:val="top"/>
            <w:vMerge w:val="continue"/>
            <w:tcBorders>
              <w:top w:val="nil"/>
            </w:tcBorders>
          </w:tcPr>
          <w:p>
            <w:pPr>
              <w:rPr>
                <w:rFonts w:ascii="Arial"/>
                <w:sz w:val="21"/>
              </w:rPr>
            </w:pPr>
            <w:r/>
          </w:p>
        </w:tc>
        <w:tc>
          <w:tcPr>
            <w:tcW w:w="2191" w:type="dxa"/>
            <w:vAlign w:val="top"/>
          </w:tcPr>
          <w:p>
            <w:pPr>
              <w:pStyle w:val="TableText"/>
              <w:ind w:left="682"/>
              <w:spacing w:before="32" w:line="228" w:lineRule="auto"/>
              <w:rPr/>
            </w:pPr>
            <w:r>
              <w:rPr>
                <w:spacing w:val="6"/>
              </w:rPr>
              <w:t>现场初赛</w:t>
            </w:r>
          </w:p>
        </w:tc>
      </w:tr>
      <w:tr>
        <w:trPr>
          <w:trHeight w:val="412" w:hRule="atLeast"/>
        </w:trPr>
        <w:tc>
          <w:tcPr>
            <w:tcW w:w="4915" w:type="dxa"/>
            <w:vAlign w:val="top"/>
            <w:gridSpan w:val="4"/>
          </w:tcPr>
          <w:p>
            <w:pPr>
              <w:pStyle w:val="TableText"/>
              <w:ind w:left="574"/>
              <w:spacing w:before="32" w:line="227" w:lineRule="auto"/>
              <w:rPr/>
            </w:pPr>
            <w:r>
              <w:rPr>
                <w:spacing w:val="9"/>
              </w:rPr>
              <w:t>说明：产生决赛名单并现场发布任务命题</w:t>
            </w:r>
          </w:p>
        </w:tc>
      </w:tr>
      <w:tr>
        <w:trPr>
          <w:trHeight w:val="413" w:hRule="atLeast"/>
        </w:trPr>
        <w:tc>
          <w:tcPr>
            <w:tcW w:w="780" w:type="dxa"/>
            <w:vAlign w:val="top"/>
          </w:tcPr>
          <w:p>
            <w:pPr>
              <w:pStyle w:val="TableText"/>
              <w:ind w:left="341"/>
              <w:spacing w:before="35" w:line="270" w:lineRule="exact"/>
              <w:rPr/>
            </w:pPr>
            <w:r>
              <w:rPr>
                <w:position w:val="1"/>
              </w:rPr>
              <w:t>4</w:t>
            </w:r>
          </w:p>
        </w:tc>
        <w:tc>
          <w:tcPr>
            <w:tcW w:w="1235" w:type="dxa"/>
            <w:vAlign w:val="top"/>
          </w:tcPr>
          <w:p>
            <w:pPr>
              <w:pStyle w:val="TableText"/>
              <w:ind w:left="202"/>
              <w:spacing w:before="34" w:line="228" w:lineRule="auto"/>
              <w:rPr/>
            </w:pPr>
            <w:r>
              <w:rPr>
                <w:spacing w:val="7"/>
              </w:rPr>
              <w:t>第四环节</w:t>
            </w:r>
          </w:p>
        </w:tc>
        <w:tc>
          <w:tcPr>
            <w:tcW w:w="709" w:type="dxa"/>
            <w:vAlign w:val="top"/>
            <w:vMerge w:val="restart"/>
            <w:tcBorders>
              <w:bottom w:val="nil"/>
            </w:tcBorders>
          </w:tcPr>
          <w:p>
            <w:pPr>
              <w:pStyle w:val="TableText"/>
              <w:ind w:left="157"/>
              <w:spacing w:before="243" w:line="228" w:lineRule="auto"/>
              <w:rPr/>
            </w:pPr>
            <w:r>
              <w:rPr>
                <w:spacing w:val="1"/>
              </w:rPr>
              <w:t>决赛</w:t>
            </w:r>
          </w:p>
        </w:tc>
        <w:tc>
          <w:tcPr>
            <w:tcW w:w="2191" w:type="dxa"/>
            <w:vAlign w:val="top"/>
          </w:tcPr>
          <w:p>
            <w:pPr>
              <w:pStyle w:val="TableText"/>
              <w:ind w:left="680"/>
              <w:spacing w:before="35" w:line="228" w:lineRule="auto"/>
              <w:rPr/>
            </w:pPr>
            <w:r>
              <w:rPr>
                <w:spacing w:val="7"/>
              </w:rPr>
              <w:t>创新实践</w:t>
            </w:r>
          </w:p>
        </w:tc>
      </w:tr>
      <w:tr>
        <w:trPr>
          <w:trHeight w:val="417" w:hRule="atLeast"/>
        </w:trPr>
        <w:tc>
          <w:tcPr>
            <w:tcW w:w="780" w:type="dxa"/>
            <w:vAlign w:val="top"/>
          </w:tcPr>
          <w:p>
            <w:pPr>
              <w:pStyle w:val="TableText"/>
              <w:ind w:left="346"/>
              <w:spacing w:before="34" w:line="269" w:lineRule="exact"/>
              <w:rPr/>
            </w:pPr>
            <w:r>
              <w:rPr>
                <w:position w:val="1"/>
              </w:rPr>
              <w:t>5</w:t>
            </w:r>
          </w:p>
        </w:tc>
        <w:tc>
          <w:tcPr>
            <w:tcW w:w="1235" w:type="dxa"/>
            <w:vAlign w:val="top"/>
          </w:tcPr>
          <w:p>
            <w:pPr>
              <w:pStyle w:val="TableText"/>
              <w:ind w:left="202"/>
              <w:spacing w:before="34" w:line="228" w:lineRule="auto"/>
              <w:rPr/>
            </w:pPr>
            <w:r>
              <w:rPr>
                <w:spacing w:val="7"/>
              </w:rPr>
              <w:t>第五环节</w:t>
            </w:r>
          </w:p>
        </w:tc>
        <w:tc>
          <w:tcPr>
            <w:tcW w:w="709" w:type="dxa"/>
            <w:vAlign w:val="top"/>
            <w:vMerge w:val="continue"/>
            <w:tcBorders>
              <w:top w:val="nil"/>
            </w:tcBorders>
          </w:tcPr>
          <w:p>
            <w:pPr>
              <w:rPr>
                <w:rFonts w:ascii="Arial"/>
                <w:sz w:val="21"/>
              </w:rPr>
            </w:pPr>
            <w:r/>
          </w:p>
        </w:tc>
        <w:tc>
          <w:tcPr>
            <w:tcW w:w="2191" w:type="dxa"/>
            <w:vAlign w:val="top"/>
          </w:tcPr>
          <w:p>
            <w:pPr>
              <w:pStyle w:val="TableText"/>
              <w:ind w:left="682"/>
              <w:spacing w:before="34" w:line="228" w:lineRule="auto"/>
              <w:rPr/>
            </w:pPr>
            <w:r>
              <w:rPr>
                <w:spacing w:val="6"/>
              </w:rPr>
              <w:t>现场决赛</w:t>
            </w:r>
          </w:p>
        </w:tc>
      </w:tr>
    </w:tbl>
    <w:p>
      <w:pPr>
        <w:rPr>
          <w:rFonts w:ascii="Arial"/>
          <w:sz w:val="21"/>
        </w:rPr>
      </w:pPr>
      <w:r/>
    </w:p>
    <w:p>
      <w:pPr>
        <w:sectPr>
          <w:footerReference w:type="default" r:id="rId2"/>
          <w:pgSz w:w="11920" w:h="16840"/>
          <w:pgMar w:top="1431" w:right="1578" w:bottom="917" w:left="1685" w:header="0" w:footer="751" w:gutter="0"/>
        </w:sectPr>
        <w:rPr>
          <w:rFonts w:ascii="Arial" w:hAnsi="Arial" w:eastAsia="Arial" w:cs="Arial"/>
          <w:sz w:val="21"/>
          <w:szCs w:val="21"/>
        </w:rPr>
      </w:pPr>
    </w:p>
    <w:p>
      <w:pPr>
        <w:ind w:left="1"/>
        <w:spacing w:before="205" w:line="222" w:lineRule="auto"/>
        <w:outlineLvl w:val="0"/>
        <w:rPr>
          <w:rFonts w:ascii="SimHei" w:hAnsi="SimHei" w:eastAsia="SimHei" w:cs="SimHei"/>
          <w:sz w:val="28"/>
          <w:szCs w:val="28"/>
        </w:rPr>
      </w:pPr>
      <w:r>
        <w:rPr>
          <w:rFonts w:ascii="SimHei" w:hAnsi="SimHei" w:eastAsia="SimHei" w:cs="SimHei"/>
          <w:sz w:val="28"/>
          <w:szCs w:val="28"/>
          <w:spacing w:val="-2"/>
        </w:rPr>
        <w:t>3、对运行环境的要求</w:t>
      </w:r>
    </w:p>
    <w:p>
      <w:pPr>
        <w:pStyle w:val="BodyText"/>
        <w:ind w:left="22"/>
        <w:spacing w:before="178" w:line="221" w:lineRule="auto"/>
        <w:rPr>
          <w:sz w:val="28"/>
          <w:szCs w:val="28"/>
        </w:rPr>
      </w:pPr>
      <w:r>
        <w:rPr>
          <w:sz w:val="28"/>
          <w:szCs w:val="28"/>
          <w:b/>
          <w:bCs/>
          <w:spacing w:val="-10"/>
        </w:rPr>
        <w:t>1)</w:t>
      </w:r>
      <w:r>
        <w:rPr>
          <w:sz w:val="28"/>
          <w:szCs w:val="28"/>
          <w:spacing w:val="15"/>
        </w:rPr>
        <w:t xml:space="preserve"> </w:t>
      </w:r>
      <w:r>
        <w:rPr>
          <w:sz w:val="28"/>
          <w:szCs w:val="28"/>
          <w:b/>
          <w:bCs/>
          <w:spacing w:val="-10"/>
        </w:rPr>
        <w:t>运行场地</w:t>
      </w:r>
    </w:p>
    <w:p>
      <w:pPr>
        <w:pStyle w:val="BodyText"/>
        <w:ind w:left="1" w:right="181" w:firstLine="502"/>
        <w:spacing w:before="173" w:line="359" w:lineRule="auto"/>
        <w:rPr/>
      </w:pPr>
      <w:r>
        <w:rPr>
          <w:spacing w:val="-2"/>
        </w:rPr>
        <w:t>比赛场地为</w:t>
      </w:r>
      <w:r>
        <w:rPr>
          <w:spacing w:val="-48"/>
        </w:rPr>
        <w:t xml:space="preserve"> </w:t>
      </w:r>
      <w:r>
        <w:rPr>
          <w:spacing w:val="-2"/>
        </w:rPr>
        <w:t>2400mm×2400mm</w:t>
      </w:r>
      <w:r>
        <w:rPr>
          <w:spacing w:val="-43"/>
        </w:rPr>
        <w:t xml:space="preserve"> </w:t>
      </w:r>
      <w:r>
        <w:rPr>
          <w:spacing w:val="-2"/>
        </w:rPr>
        <w:t>正方形</w:t>
      </w:r>
      <w:r>
        <w:rPr>
          <w:spacing w:val="-3"/>
        </w:rPr>
        <w:t>平面区域（如图</w:t>
      </w:r>
      <w:r>
        <w:rPr>
          <w:spacing w:val="-33"/>
        </w:rPr>
        <w:t xml:space="preserve"> </w:t>
      </w:r>
      <w:r>
        <w:rPr>
          <w:spacing w:val="-3"/>
        </w:rPr>
        <w:t>1</w:t>
      </w:r>
      <w:r>
        <w:rPr>
          <w:spacing w:val="-50"/>
        </w:rPr>
        <w:t xml:space="preserve"> </w:t>
      </w:r>
      <w:r>
        <w:rPr>
          <w:spacing w:val="-3"/>
        </w:rPr>
        <w:t>所示</w:t>
      </w:r>
      <w:r>
        <w:rPr>
          <w:spacing w:val="-54"/>
        </w:rPr>
        <w:t>），</w:t>
      </w:r>
      <w:r>
        <w:rPr>
          <w:spacing w:val="-3"/>
        </w:rPr>
        <w:t>搬运机器人全部</w:t>
      </w:r>
      <w:r>
        <w:rPr/>
        <w:t>离开启停区后只能在灰色车道上行驶，进入其它</w:t>
      </w:r>
      <w:r>
        <w:rPr>
          <w:spacing w:val="-1"/>
        </w:rPr>
        <w:t>颜色区域（除启停区）结束比赛。</w:t>
      </w:r>
    </w:p>
    <w:p>
      <w:pPr>
        <w:pStyle w:val="BodyText"/>
        <w:ind w:firstLine="506"/>
        <w:spacing w:before="11" w:line="355" w:lineRule="auto"/>
        <w:rPr/>
      </w:pPr>
      <w:r>
        <w:rPr>
          <w:spacing w:val="3"/>
        </w:rPr>
        <w:t>比赛场地的行车道为灰色，中间十字灰色行车道宽度为400</w:t>
      </w:r>
      <w:r>
        <w:rPr/>
        <w:t>mm</w:t>
      </w:r>
      <w:r>
        <w:rPr>
          <w:spacing w:val="3"/>
        </w:rPr>
        <w:t>，中间对称的四</w:t>
      </w:r>
      <w:r>
        <w:rPr>
          <w:spacing w:val="5"/>
        </w:rPr>
        <w:t>个淡黄色区域尺寸为</w:t>
      </w:r>
      <w:r>
        <w:rPr>
          <w:spacing w:val="-47"/>
        </w:rPr>
        <w:t xml:space="preserve"> </w:t>
      </w:r>
      <w:r>
        <w:rPr>
          <w:spacing w:val="5"/>
        </w:rPr>
        <w:t>450×450</w:t>
      </w:r>
      <w:r>
        <w:rPr/>
        <w:t>mm</w:t>
      </w:r>
      <w:r>
        <w:rPr>
          <w:spacing w:val="5"/>
        </w:rPr>
        <w:t>，其余区域为亚光白色等</w:t>
      </w:r>
      <w:r>
        <w:rPr>
          <w:spacing w:val="4"/>
        </w:rPr>
        <w:t>浅色底色，赛道上设有</w:t>
      </w:r>
      <w:r>
        <w:rPr/>
        <w:t>黑色模拟障碍物的尺寸为φ50×100mm，数量和位置随机抽签放置。在比赛场地内，</w:t>
      </w:r>
      <w:r>
        <w:rPr>
          <w:spacing w:val="1"/>
        </w:rPr>
        <w:t>设置蓝色的启停区（2</w:t>
      </w:r>
      <w:r>
        <w:rPr>
          <w:spacing w:val="-28"/>
        </w:rPr>
        <w:t xml:space="preserve"> </w:t>
      </w:r>
      <w:r>
        <w:rPr>
          <w:spacing w:val="1"/>
        </w:rPr>
        <w:t>处）、原料区、粗加工区、暂存区、精加工区、成品区等区</w:t>
      </w:r>
      <w:r>
        <w:rPr/>
        <w:t>域。其中启停区用于搬运机器人往返的停放区域，原料区及二维码板的位置在规定</w:t>
      </w:r>
      <w:r>
        <w:rPr/>
        <w:t>范围内随机摆放，以比赛现场为准。初赛时，主要经过原料区、粗加工区和暂存区</w:t>
      </w:r>
      <w:r>
        <w:rPr/>
        <w:t>完成粗加工物料的搬运过程；决赛时，所涉及的区域、位置、形式、尺寸及相关参</w:t>
      </w:r>
      <w:r>
        <w:rPr/>
        <w:t>数等决赛现场公布。初赛各区域尺寸说明如表</w:t>
      </w:r>
      <w:r>
        <w:rPr>
          <w:spacing w:val="-48"/>
        </w:rPr>
        <w:t xml:space="preserve"> </w:t>
      </w:r>
      <w:r>
        <w:rPr/>
        <w:t>2</w:t>
      </w:r>
      <w:r>
        <w:rPr>
          <w:spacing w:val="-51"/>
        </w:rPr>
        <w:t xml:space="preserve"> </w:t>
      </w:r>
      <w:r>
        <w:rPr/>
        <w:t>所示</w:t>
      </w:r>
      <w:r>
        <w:rPr>
          <w:spacing w:val="-1"/>
        </w:rPr>
        <w:t>，各区域的尺寸及装置的摆放</w:t>
      </w:r>
      <w:r>
        <w:rPr>
          <w:spacing w:val="-1"/>
        </w:rPr>
        <w:t>位置会有一定偏差，以实际比赛现场为准，各参赛队</w:t>
      </w:r>
      <w:r>
        <w:rPr>
          <w:spacing w:val="-2"/>
        </w:rPr>
        <w:t>的搬运机器人应适应这种变化。</w:t>
      </w:r>
    </w:p>
    <w:p>
      <w:pPr>
        <w:ind w:firstLine="689"/>
        <w:spacing w:line="6854" w:lineRule="exact"/>
        <w:rPr/>
      </w:pPr>
      <w:r>
        <w:rPr>
          <w:position w:val="-137"/>
        </w:rPr>
        <w:drawing>
          <wp:inline distT="0" distB="0" distL="0" distR="0">
            <wp:extent cx="4611623" cy="4352544"/>
            <wp:effectExtent l="0" t="0" r="0" b="0"/>
            <wp:docPr id="2" name="IM 2"/>
            <wp:cNvGraphicFramePr/>
            <a:graphic>
              <a:graphicData uri="http://schemas.openxmlformats.org/drawingml/2006/picture">
                <pic:pic>
                  <pic:nvPicPr>
                    <pic:cNvPr id="2" name="IM 2"/>
                    <pic:cNvPicPr/>
                  </pic:nvPicPr>
                  <pic:blipFill>
                    <a:blip r:embed="rId4"/>
                    <a:stretch>
                      <a:fillRect/>
                    </a:stretch>
                  </pic:blipFill>
                  <pic:spPr>
                    <a:xfrm rot="0">
                      <a:off x="0" y="0"/>
                      <a:ext cx="4611623" cy="4352544"/>
                    </a:xfrm>
                    <a:prstGeom prst="rect">
                      <a:avLst/>
                    </a:prstGeom>
                  </pic:spPr>
                </pic:pic>
              </a:graphicData>
            </a:graphic>
          </wp:inline>
        </w:drawing>
      </w:r>
    </w:p>
    <w:p>
      <w:pPr>
        <w:pStyle w:val="BodyText"/>
        <w:ind w:left="3376"/>
        <w:spacing w:before="32" w:line="228" w:lineRule="auto"/>
        <w:rPr>
          <w:sz w:val="20"/>
          <w:szCs w:val="20"/>
        </w:rPr>
      </w:pPr>
      <w:r>
        <w:rPr>
          <w:sz w:val="20"/>
          <w:szCs w:val="20"/>
          <w:spacing w:val="3"/>
        </w:rPr>
        <w:t>图</w:t>
      </w:r>
      <w:r>
        <w:rPr>
          <w:sz w:val="20"/>
          <w:szCs w:val="20"/>
          <w:spacing w:val="-18"/>
        </w:rPr>
        <w:t xml:space="preserve"> </w:t>
      </w:r>
      <w:r>
        <w:rPr>
          <w:sz w:val="20"/>
          <w:szCs w:val="20"/>
          <w:spacing w:val="3"/>
        </w:rPr>
        <w:t>1 初赛赛场示意图</w:t>
      </w:r>
    </w:p>
    <w:p>
      <w:pPr>
        <w:spacing w:line="228" w:lineRule="auto"/>
        <w:sectPr>
          <w:footerReference w:type="default" r:id="rId3"/>
          <w:pgSz w:w="11920" w:h="16840"/>
          <w:pgMar w:top="1431" w:right="1399" w:bottom="917" w:left="1689" w:header="0" w:footer="751" w:gutter="0"/>
        </w:sectPr>
        <w:rPr>
          <w:sz w:val="20"/>
          <w:szCs w:val="20"/>
        </w:rPr>
      </w:pPr>
    </w:p>
    <w:p>
      <w:pPr>
        <w:pStyle w:val="BodyText"/>
        <w:ind w:left="3042"/>
        <w:spacing w:before="98" w:line="227" w:lineRule="auto"/>
        <w:rPr>
          <w:sz w:val="20"/>
          <w:szCs w:val="20"/>
        </w:rPr>
      </w:pPr>
      <w:r>
        <w:rPr>
          <w:sz w:val="20"/>
          <w:szCs w:val="20"/>
          <w:spacing w:val="7"/>
        </w:rPr>
        <w:t>表</w:t>
      </w:r>
      <w:r>
        <w:rPr>
          <w:sz w:val="20"/>
          <w:szCs w:val="20"/>
          <w:spacing w:val="-29"/>
        </w:rPr>
        <w:t xml:space="preserve"> </w:t>
      </w:r>
      <w:r>
        <w:rPr>
          <w:sz w:val="20"/>
          <w:szCs w:val="20"/>
          <w:spacing w:val="7"/>
        </w:rPr>
        <w:t>2 初赛各区域尺寸说明表</w:t>
      </w:r>
    </w:p>
    <w:p>
      <w:pPr>
        <w:spacing w:line="132" w:lineRule="exact"/>
        <w:rPr/>
      </w:pPr>
      <w:r/>
    </w:p>
    <w:tbl>
      <w:tblPr>
        <w:tblStyle w:val="TableNormal"/>
        <w:tblW w:w="7274" w:type="dxa"/>
        <w:tblInd w:w="684"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759"/>
        <w:gridCol w:w="2061"/>
        <w:gridCol w:w="4454"/>
      </w:tblGrid>
      <w:tr>
        <w:trPr>
          <w:trHeight w:val="416" w:hRule="atLeast"/>
        </w:trPr>
        <w:tc>
          <w:tcPr>
            <w:tcW w:w="759" w:type="dxa"/>
            <w:vAlign w:val="top"/>
          </w:tcPr>
          <w:p>
            <w:pPr>
              <w:pStyle w:val="TableText"/>
              <w:ind w:left="173"/>
              <w:spacing w:before="36" w:line="229" w:lineRule="auto"/>
              <w:rPr/>
            </w:pPr>
            <w:r>
              <w:rPr>
                <w:b/>
                <w:bCs/>
                <w:spacing w:val="4"/>
              </w:rPr>
              <w:t>序号</w:t>
            </w:r>
          </w:p>
        </w:tc>
        <w:tc>
          <w:tcPr>
            <w:tcW w:w="2061" w:type="dxa"/>
            <w:vAlign w:val="top"/>
          </w:tcPr>
          <w:p>
            <w:pPr>
              <w:pStyle w:val="TableText"/>
              <w:ind w:left="839"/>
              <w:spacing w:before="36" w:line="228" w:lineRule="auto"/>
              <w:rPr/>
            </w:pPr>
            <w:r>
              <w:rPr>
                <w:b/>
                <w:bCs/>
                <w:spacing w:val="-4"/>
              </w:rPr>
              <w:t>区域</w:t>
            </w:r>
          </w:p>
        </w:tc>
        <w:tc>
          <w:tcPr>
            <w:tcW w:w="4454" w:type="dxa"/>
            <w:vAlign w:val="top"/>
          </w:tcPr>
          <w:p>
            <w:pPr>
              <w:pStyle w:val="TableText"/>
              <w:ind w:left="1808"/>
              <w:spacing w:before="36" w:line="227" w:lineRule="auto"/>
              <w:rPr/>
            </w:pPr>
            <w:r>
              <w:rPr>
                <w:b/>
                <w:bCs/>
                <w:spacing w:val="6"/>
              </w:rPr>
              <w:t>尺寸说明</w:t>
            </w:r>
          </w:p>
        </w:tc>
      </w:tr>
      <w:tr>
        <w:trPr>
          <w:trHeight w:val="413" w:hRule="atLeast"/>
        </w:trPr>
        <w:tc>
          <w:tcPr>
            <w:tcW w:w="759" w:type="dxa"/>
            <w:vAlign w:val="top"/>
          </w:tcPr>
          <w:p>
            <w:pPr>
              <w:pStyle w:val="TableText"/>
              <w:ind w:left="348"/>
              <w:spacing w:before="32" w:line="270" w:lineRule="exact"/>
              <w:rPr/>
            </w:pPr>
            <w:r>
              <w:rPr>
                <w:position w:val="1"/>
              </w:rPr>
              <w:t>1</w:t>
            </w:r>
          </w:p>
        </w:tc>
        <w:tc>
          <w:tcPr>
            <w:tcW w:w="2061" w:type="dxa"/>
            <w:vAlign w:val="top"/>
          </w:tcPr>
          <w:p>
            <w:pPr>
              <w:pStyle w:val="TableText"/>
              <w:ind w:left="722"/>
              <w:spacing w:before="33" w:line="228" w:lineRule="auto"/>
              <w:rPr/>
            </w:pPr>
            <w:r>
              <w:rPr>
                <w:spacing w:val="5"/>
              </w:rPr>
              <w:t>启停区</w:t>
            </w:r>
          </w:p>
        </w:tc>
        <w:tc>
          <w:tcPr>
            <w:tcW w:w="4454" w:type="dxa"/>
            <w:vAlign w:val="top"/>
          </w:tcPr>
          <w:p>
            <w:pPr>
              <w:pStyle w:val="TableText"/>
              <w:ind w:left="1077"/>
              <w:spacing w:before="33" w:line="228" w:lineRule="auto"/>
              <w:rPr/>
            </w:pPr>
            <w:r>
              <w:rPr>
                <w:spacing w:val="6"/>
              </w:rPr>
              <w:t>长×宽：300×300（</w:t>
            </w:r>
            <w:r>
              <w:rPr/>
              <w:t>mm</w:t>
            </w:r>
            <w:r>
              <w:rPr>
                <w:spacing w:val="6"/>
              </w:rPr>
              <w:t>）</w:t>
            </w:r>
          </w:p>
        </w:tc>
      </w:tr>
      <w:tr>
        <w:trPr>
          <w:trHeight w:val="412" w:hRule="atLeast"/>
        </w:trPr>
        <w:tc>
          <w:tcPr>
            <w:tcW w:w="759" w:type="dxa"/>
            <w:vAlign w:val="top"/>
          </w:tcPr>
          <w:p>
            <w:pPr>
              <w:pStyle w:val="TableText"/>
              <w:ind w:left="335"/>
              <w:spacing w:before="32" w:line="270" w:lineRule="exact"/>
              <w:rPr/>
            </w:pPr>
            <w:r>
              <w:rPr>
                <w:position w:val="1"/>
              </w:rPr>
              <w:t>2</w:t>
            </w:r>
          </w:p>
        </w:tc>
        <w:tc>
          <w:tcPr>
            <w:tcW w:w="2061" w:type="dxa"/>
            <w:vAlign w:val="top"/>
          </w:tcPr>
          <w:p>
            <w:pPr>
              <w:pStyle w:val="TableText"/>
              <w:ind w:left="723"/>
              <w:spacing w:before="32" w:line="228" w:lineRule="auto"/>
              <w:rPr/>
            </w:pPr>
            <w:r>
              <w:rPr>
                <w:spacing w:val="5"/>
              </w:rPr>
              <w:t>原料区</w:t>
            </w:r>
          </w:p>
        </w:tc>
        <w:tc>
          <w:tcPr>
            <w:tcW w:w="4454" w:type="dxa"/>
            <w:vAlign w:val="top"/>
          </w:tcPr>
          <w:p>
            <w:pPr>
              <w:pStyle w:val="TableText"/>
              <w:ind w:left="210"/>
              <w:spacing w:before="32" w:line="228" w:lineRule="auto"/>
              <w:rPr/>
            </w:pPr>
            <w:r>
              <w:rPr>
                <w:spacing w:val="6"/>
              </w:rPr>
              <w:t>顶面为直径</w:t>
            </w:r>
            <w:r>
              <w:rPr>
                <w:spacing w:val="-36"/>
              </w:rPr>
              <w:t xml:space="preserve"> </w:t>
            </w:r>
            <w:r>
              <w:rPr>
                <w:spacing w:val="6"/>
              </w:rPr>
              <w:t>300</w:t>
            </w:r>
            <w:r>
              <w:rPr/>
              <w:t>mm</w:t>
            </w:r>
            <w:r>
              <w:rPr>
                <w:spacing w:val="-21"/>
              </w:rPr>
              <w:t xml:space="preserve"> </w:t>
            </w:r>
            <w:r>
              <w:rPr>
                <w:spacing w:val="6"/>
              </w:rPr>
              <w:t>的圆盘，总高度</w:t>
            </w:r>
            <w:r>
              <w:rPr>
                <w:spacing w:val="-38"/>
              </w:rPr>
              <w:t xml:space="preserve"> </w:t>
            </w:r>
            <w:r>
              <w:rPr>
                <w:spacing w:val="6"/>
              </w:rPr>
              <w:t>80-100</w:t>
            </w:r>
            <w:r>
              <w:rPr/>
              <w:t>mm</w:t>
            </w:r>
          </w:p>
        </w:tc>
      </w:tr>
      <w:tr>
        <w:trPr>
          <w:trHeight w:val="417" w:hRule="atLeast"/>
        </w:trPr>
        <w:tc>
          <w:tcPr>
            <w:tcW w:w="759" w:type="dxa"/>
            <w:vAlign w:val="top"/>
          </w:tcPr>
          <w:p>
            <w:pPr>
              <w:pStyle w:val="TableText"/>
              <w:ind w:left="337"/>
              <w:spacing w:before="35" w:line="268" w:lineRule="exact"/>
              <w:rPr/>
            </w:pPr>
            <w:r>
              <w:rPr>
                <w:position w:val="1"/>
              </w:rPr>
              <w:t>3</w:t>
            </w:r>
          </w:p>
        </w:tc>
        <w:tc>
          <w:tcPr>
            <w:tcW w:w="2061" w:type="dxa"/>
            <w:vAlign w:val="top"/>
          </w:tcPr>
          <w:p>
            <w:pPr>
              <w:pStyle w:val="TableText"/>
              <w:ind w:left="202"/>
              <w:spacing w:before="35" w:line="228" w:lineRule="auto"/>
              <w:rPr/>
            </w:pPr>
            <w:r>
              <w:rPr>
                <w:spacing w:val="7"/>
              </w:rPr>
              <w:t>暂存区、粗加工区</w:t>
            </w:r>
          </w:p>
        </w:tc>
        <w:tc>
          <w:tcPr>
            <w:tcW w:w="4454" w:type="dxa"/>
            <w:vAlign w:val="top"/>
          </w:tcPr>
          <w:p>
            <w:pPr>
              <w:pStyle w:val="TableText"/>
              <w:ind w:left="1077"/>
              <w:spacing w:before="35" w:line="228" w:lineRule="auto"/>
              <w:rPr/>
            </w:pPr>
            <w:r>
              <w:rPr>
                <w:spacing w:val="6"/>
              </w:rPr>
              <w:t>长×宽：580×150（</w:t>
            </w:r>
            <w:r>
              <w:rPr/>
              <w:t>mm</w:t>
            </w:r>
            <w:r>
              <w:rPr>
                <w:spacing w:val="6"/>
              </w:rPr>
              <w:t>）</w:t>
            </w:r>
          </w:p>
        </w:tc>
      </w:tr>
    </w:tbl>
    <w:p>
      <w:pPr>
        <w:pStyle w:val="BodyText"/>
        <w:ind w:firstLine="486"/>
        <w:spacing w:before="32" w:line="356" w:lineRule="auto"/>
        <w:rPr/>
      </w:pPr>
      <w:r>
        <w:rPr>
          <w:spacing w:val="6"/>
        </w:rPr>
        <w:t>原料区采用圆形电动转盘摆放物料，转盘的转向随机，停止位置为物料进入</w:t>
      </w:r>
      <w:r>
        <w:rPr>
          <w:spacing w:val="-1"/>
        </w:rPr>
        <w:t>场地后的中间位置（停止位置会有一定的误差）。现场初赛竞赛场地内的原料区、</w:t>
      </w:r>
      <w:r>
        <w:rPr>
          <w:spacing w:val="5"/>
        </w:rPr>
        <w:t>粗加工区和暂存区位置如图</w:t>
      </w:r>
      <w:r>
        <w:rPr>
          <w:spacing w:val="-25"/>
        </w:rPr>
        <w:t xml:space="preserve"> </w:t>
      </w:r>
      <w:r>
        <w:rPr>
          <w:spacing w:val="5"/>
        </w:rPr>
        <w:t>1</w:t>
      </w:r>
      <w:r>
        <w:rPr>
          <w:spacing w:val="-44"/>
        </w:rPr>
        <w:t xml:space="preserve"> </w:t>
      </w:r>
      <w:r>
        <w:rPr>
          <w:spacing w:val="5"/>
        </w:rPr>
        <w:t>所示。原料区（如图</w:t>
      </w:r>
      <w:r>
        <w:rPr>
          <w:spacing w:val="-38"/>
        </w:rPr>
        <w:t xml:space="preserve"> </w:t>
      </w:r>
      <w:r>
        <w:rPr>
          <w:spacing w:val="4"/>
        </w:rPr>
        <w:t>2</w:t>
      </w:r>
      <w:r>
        <w:rPr>
          <w:spacing w:val="-43"/>
        </w:rPr>
        <w:t xml:space="preserve"> </w:t>
      </w:r>
      <w:r>
        <w:rPr>
          <w:spacing w:val="4"/>
        </w:rPr>
        <w:t>所示）一次可以均匀放置</w:t>
      </w:r>
      <w:r>
        <w:rPr>
          <w:spacing w:val="-36"/>
        </w:rPr>
        <w:t xml:space="preserve"> </w:t>
      </w:r>
      <w:r>
        <w:rPr>
          <w:spacing w:val="4"/>
        </w:rPr>
        <w:t>3</w:t>
      </w:r>
      <w:r>
        <w:rPr>
          <w:spacing w:val="-1"/>
        </w:rPr>
        <w:t>个物料，物料中线呈</w:t>
      </w:r>
      <w:r>
        <w:rPr>
          <w:spacing w:val="-33"/>
        </w:rPr>
        <w:t xml:space="preserve"> </w:t>
      </w:r>
      <w:r>
        <w:rPr>
          <w:spacing w:val="-1"/>
        </w:rPr>
        <w:t>120</w:t>
      </w:r>
      <w:r>
        <w:rPr>
          <w:spacing w:val="-89"/>
        </w:rPr>
        <w:t xml:space="preserve"> </w:t>
      </w:r>
      <w:r>
        <w:rPr>
          <w:spacing w:val="-1"/>
        </w:rPr>
        <w:t>°夹角，转盘匀速的转动速度</w:t>
      </w:r>
      <w:r>
        <w:rPr>
          <w:spacing w:val="-46"/>
        </w:rPr>
        <w:t xml:space="preserve"> </w:t>
      </w:r>
      <w:r>
        <w:rPr>
          <w:spacing w:val="-1"/>
        </w:rPr>
        <w:t>6-10</w:t>
      </w:r>
      <w:r>
        <w:rPr>
          <w:spacing w:val="-49"/>
        </w:rPr>
        <w:t xml:space="preserve"> </w:t>
      </w:r>
      <w:r>
        <w:rPr>
          <w:spacing w:val="-1"/>
        </w:rPr>
        <w:t>秒/</w:t>
      </w:r>
      <w:r>
        <w:rPr>
          <w:spacing w:val="-2"/>
        </w:rPr>
        <w:t>圈，每转停留次数</w:t>
      </w:r>
      <w:r>
        <w:rPr>
          <w:spacing w:val="5"/>
        </w:rPr>
        <w:t>和时间以现场为准。暂存区和粗加工区（如图</w:t>
      </w:r>
      <w:r>
        <w:rPr>
          <w:spacing w:val="-36"/>
        </w:rPr>
        <w:t xml:space="preserve"> </w:t>
      </w:r>
      <w:r>
        <w:rPr>
          <w:spacing w:val="5"/>
        </w:rPr>
        <w:t>3</w:t>
      </w:r>
      <w:r>
        <w:rPr>
          <w:spacing w:val="-43"/>
        </w:rPr>
        <w:t xml:space="preserve"> </w:t>
      </w:r>
      <w:r>
        <w:rPr>
          <w:spacing w:val="5"/>
        </w:rPr>
        <w:t>所示）表面上均有用于测量物料</w:t>
      </w:r>
      <w:r>
        <w:rPr>
          <w:spacing w:val="4"/>
        </w:rPr>
        <w:t>摆放位置准确程度的圆环，尺寸如表</w:t>
      </w:r>
      <w:r>
        <w:rPr>
          <w:spacing w:val="-32"/>
        </w:rPr>
        <w:t xml:space="preserve"> </w:t>
      </w:r>
      <w:r>
        <w:rPr>
          <w:spacing w:val="4"/>
        </w:rPr>
        <w:t>3</w:t>
      </w:r>
      <w:r>
        <w:rPr>
          <w:spacing w:val="-42"/>
        </w:rPr>
        <w:t xml:space="preserve"> </w:t>
      </w:r>
      <w:r>
        <w:rPr>
          <w:spacing w:val="4"/>
        </w:rPr>
        <w:t>和图</w:t>
      </w:r>
      <w:r>
        <w:rPr>
          <w:spacing w:val="-47"/>
        </w:rPr>
        <w:t xml:space="preserve"> </w:t>
      </w:r>
      <w:r>
        <w:rPr>
          <w:spacing w:val="4"/>
        </w:rPr>
        <w:t>4</w:t>
      </w:r>
      <w:r>
        <w:rPr>
          <w:spacing w:val="-43"/>
        </w:rPr>
        <w:t xml:space="preserve"> </w:t>
      </w:r>
      <w:r>
        <w:rPr>
          <w:spacing w:val="4"/>
        </w:rPr>
        <w:t>所示，其中φ为物料最大直径（单</w:t>
      </w:r>
      <w:r>
        <w:rPr>
          <w:spacing w:val="-5"/>
        </w:rPr>
        <w:t>位：mm</w:t>
      </w:r>
      <w:r>
        <w:rPr>
          <w:spacing w:val="-53"/>
        </w:rPr>
        <w:t>），</w:t>
      </w:r>
      <w:r>
        <w:rPr>
          <w:spacing w:val="-61"/>
        </w:rPr>
        <w:t xml:space="preserve"> </w:t>
      </w:r>
      <w:r>
        <w:rPr>
          <w:spacing w:val="-5"/>
        </w:rPr>
        <w:t>φ</w:t>
      </w:r>
      <w:r>
        <w:rPr>
          <w:spacing w:val="-93"/>
        </w:rPr>
        <w:t xml:space="preserve"> </w:t>
      </w:r>
      <w:r>
        <w:rPr>
          <w:spacing w:val="-5"/>
        </w:rPr>
        <w:t>1-φ5</w:t>
      </w:r>
      <w:r>
        <w:rPr>
          <w:spacing w:val="-48"/>
        </w:rPr>
        <w:t xml:space="preserve"> </w:t>
      </w:r>
      <w:r>
        <w:rPr>
          <w:spacing w:val="-5"/>
        </w:rPr>
        <w:t>为圆环</w:t>
      </w:r>
      <w:r>
        <w:rPr>
          <w:spacing w:val="-33"/>
        </w:rPr>
        <w:t xml:space="preserve"> </w:t>
      </w:r>
      <w:r>
        <w:rPr>
          <w:spacing w:val="-5"/>
        </w:rPr>
        <w:t>1-5</w:t>
      </w:r>
      <w:r>
        <w:rPr>
          <w:spacing w:val="-50"/>
        </w:rPr>
        <w:t xml:space="preserve"> </w:t>
      </w:r>
      <w:r>
        <w:rPr>
          <w:spacing w:val="-5"/>
        </w:rPr>
        <w:t>环的外径，圆环线宽为</w:t>
      </w:r>
      <w:r>
        <w:rPr>
          <w:spacing w:val="-33"/>
        </w:rPr>
        <w:t xml:space="preserve"> </w:t>
      </w:r>
      <w:r>
        <w:rPr>
          <w:spacing w:val="-5"/>
        </w:rPr>
        <w:t>1.5mm。圆环中间标有数字，</w:t>
      </w:r>
      <w:r>
        <w:rPr>
          <w:spacing w:val="-1"/>
        </w:rPr>
        <w:t>物料放置时应按任务码的要求放置在对应的位置上。</w:t>
      </w:r>
    </w:p>
    <w:p>
      <w:pPr>
        <w:ind w:firstLine="2590"/>
        <w:spacing w:line="6444" w:lineRule="exact"/>
        <w:rPr/>
      </w:pPr>
      <w:r>
        <w:rPr>
          <w:position w:val="-128"/>
        </w:rPr>
        <w:drawing>
          <wp:inline distT="0" distB="0" distL="0" distR="0">
            <wp:extent cx="2522220" cy="4091940"/>
            <wp:effectExtent l="0" t="0" r="0" b="0"/>
            <wp:docPr id="4" name="IM 4"/>
            <wp:cNvGraphicFramePr/>
            <a:graphic>
              <a:graphicData uri="http://schemas.openxmlformats.org/drawingml/2006/picture">
                <pic:pic>
                  <pic:nvPicPr>
                    <pic:cNvPr id="4" name="IM 4"/>
                    <pic:cNvPicPr/>
                  </pic:nvPicPr>
                  <pic:blipFill>
                    <a:blip r:embed="rId6"/>
                    <a:stretch>
                      <a:fillRect/>
                    </a:stretch>
                  </pic:blipFill>
                  <pic:spPr>
                    <a:xfrm rot="0">
                      <a:off x="0" y="0"/>
                      <a:ext cx="2522220" cy="4091940"/>
                    </a:xfrm>
                    <a:prstGeom prst="rect">
                      <a:avLst/>
                    </a:prstGeom>
                  </pic:spPr>
                </pic:pic>
              </a:graphicData>
            </a:graphic>
          </wp:inline>
        </w:drawing>
      </w:r>
    </w:p>
    <w:p>
      <w:pPr>
        <w:pStyle w:val="BodyText"/>
        <w:ind w:left="3483"/>
        <w:spacing w:before="172" w:line="228" w:lineRule="auto"/>
        <w:rPr>
          <w:sz w:val="20"/>
          <w:szCs w:val="20"/>
        </w:rPr>
      </w:pPr>
      <w:r>
        <w:rPr>
          <w:sz w:val="20"/>
          <w:szCs w:val="20"/>
          <w:spacing w:val="2"/>
        </w:rPr>
        <w:t>图</w:t>
      </w:r>
      <w:r>
        <w:rPr>
          <w:sz w:val="20"/>
          <w:szCs w:val="20"/>
          <w:spacing w:val="-35"/>
        </w:rPr>
        <w:t xml:space="preserve"> </w:t>
      </w:r>
      <w:r>
        <w:rPr>
          <w:sz w:val="20"/>
          <w:szCs w:val="20"/>
          <w:spacing w:val="2"/>
        </w:rPr>
        <w:t>2</w:t>
      </w:r>
      <w:r>
        <w:rPr>
          <w:sz w:val="20"/>
          <w:szCs w:val="20"/>
          <w:spacing w:val="19"/>
        </w:rPr>
        <w:t xml:space="preserve"> </w:t>
      </w:r>
      <w:r>
        <w:rPr>
          <w:sz w:val="20"/>
          <w:szCs w:val="20"/>
          <w:spacing w:val="2"/>
        </w:rPr>
        <w:t>原料区示意图</w:t>
      </w:r>
    </w:p>
    <w:p>
      <w:pPr>
        <w:spacing w:line="228" w:lineRule="auto"/>
        <w:sectPr>
          <w:footerReference w:type="default" r:id="rId5"/>
          <w:pgSz w:w="11920" w:h="16840"/>
          <w:pgMar w:top="1431" w:right="1614" w:bottom="915" w:left="1688" w:header="0" w:footer="751" w:gutter="0"/>
        </w:sectPr>
        <w:rPr>
          <w:sz w:val="20"/>
          <w:szCs w:val="20"/>
        </w:rPr>
      </w:pPr>
    </w:p>
    <w:p>
      <w:pPr>
        <w:ind w:firstLine="1801"/>
        <w:spacing w:before="68" w:line="2280" w:lineRule="exact"/>
        <w:rPr/>
      </w:pPr>
      <w:r>
        <w:rPr>
          <w:position w:val="-45"/>
        </w:rPr>
        <w:drawing>
          <wp:inline distT="0" distB="0" distL="0" distR="0">
            <wp:extent cx="3200399" cy="1447800"/>
            <wp:effectExtent l="0" t="0" r="0" b="0"/>
            <wp:docPr id="6" name="IM 6"/>
            <wp:cNvGraphicFramePr/>
            <a:graphic>
              <a:graphicData uri="http://schemas.openxmlformats.org/drawingml/2006/picture">
                <pic:pic>
                  <pic:nvPicPr>
                    <pic:cNvPr id="6" name="IM 6"/>
                    <pic:cNvPicPr/>
                  </pic:nvPicPr>
                  <pic:blipFill>
                    <a:blip r:embed="rId8"/>
                    <a:stretch>
                      <a:fillRect/>
                    </a:stretch>
                  </pic:blipFill>
                  <pic:spPr>
                    <a:xfrm rot="0">
                      <a:off x="0" y="0"/>
                      <a:ext cx="3200399" cy="1447800"/>
                    </a:xfrm>
                    <a:prstGeom prst="rect">
                      <a:avLst/>
                    </a:prstGeom>
                  </pic:spPr>
                </pic:pic>
              </a:graphicData>
            </a:graphic>
          </wp:inline>
        </w:drawing>
      </w:r>
    </w:p>
    <w:p>
      <w:pPr>
        <w:pStyle w:val="BodyText"/>
        <w:ind w:left="2958"/>
        <w:spacing w:before="166" w:line="228" w:lineRule="auto"/>
        <w:rPr>
          <w:sz w:val="20"/>
          <w:szCs w:val="20"/>
        </w:rPr>
      </w:pPr>
      <w:r>
        <w:rPr>
          <w:sz w:val="20"/>
          <w:szCs w:val="20"/>
          <w:spacing w:val="6"/>
        </w:rPr>
        <w:t>图</w:t>
      </w:r>
      <w:r>
        <w:rPr>
          <w:sz w:val="20"/>
          <w:szCs w:val="20"/>
          <w:spacing w:val="-32"/>
        </w:rPr>
        <w:t xml:space="preserve"> </w:t>
      </w:r>
      <w:r>
        <w:rPr>
          <w:sz w:val="20"/>
          <w:szCs w:val="20"/>
          <w:spacing w:val="6"/>
        </w:rPr>
        <w:t>3 暂存区、粗加工区示意图</w:t>
      </w:r>
    </w:p>
    <w:p>
      <w:pPr>
        <w:ind w:firstLine="2375"/>
        <w:spacing w:before="131" w:line="4335" w:lineRule="exact"/>
        <w:rPr/>
      </w:pPr>
      <w:r>
        <w:rPr>
          <w:position w:val="-86"/>
        </w:rPr>
        <w:drawing>
          <wp:inline distT="0" distB="0" distL="0" distR="0">
            <wp:extent cx="2501264" cy="2752725"/>
            <wp:effectExtent l="0" t="0" r="0" b="0"/>
            <wp:docPr id="8" name="IM 8"/>
            <wp:cNvGraphicFramePr/>
            <a:graphic>
              <a:graphicData uri="http://schemas.openxmlformats.org/drawingml/2006/picture">
                <pic:pic>
                  <pic:nvPicPr>
                    <pic:cNvPr id="8" name="IM 8"/>
                    <pic:cNvPicPr/>
                  </pic:nvPicPr>
                  <pic:blipFill>
                    <a:blip r:embed="rId9"/>
                    <a:stretch>
                      <a:fillRect/>
                    </a:stretch>
                  </pic:blipFill>
                  <pic:spPr>
                    <a:xfrm rot="0">
                      <a:off x="0" y="0"/>
                      <a:ext cx="2501264" cy="2752725"/>
                    </a:xfrm>
                    <a:prstGeom prst="rect">
                      <a:avLst/>
                    </a:prstGeom>
                  </pic:spPr>
                </pic:pic>
              </a:graphicData>
            </a:graphic>
          </wp:inline>
        </w:drawing>
      </w:r>
    </w:p>
    <w:p>
      <w:pPr>
        <w:pStyle w:val="BodyText"/>
        <w:ind w:left="4062"/>
        <w:spacing w:before="178" w:line="229" w:lineRule="auto"/>
        <w:rPr>
          <w:sz w:val="20"/>
          <w:szCs w:val="20"/>
        </w:rPr>
      </w:pPr>
      <w:r>
        <w:rPr>
          <w:sz w:val="20"/>
          <w:szCs w:val="20"/>
          <w:spacing w:val="-8"/>
        </w:rPr>
        <w:t>图</w:t>
      </w:r>
      <w:r>
        <w:rPr>
          <w:sz w:val="20"/>
          <w:szCs w:val="20"/>
          <w:spacing w:val="-40"/>
        </w:rPr>
        <w:t xml:space="preserve"> </w:t>
      </w:r>
      <w:r>
        <w:rPr>
          <w:sz w:val="20"/>
          <w:szCs w:val="20"/>
          <w:spacing w:val="-8"/>
        </w:rPr>
        <w:t>4</w:t>
      </w:r>
      <w:r>
        <w:rPr>
          <w:sz w:val="20"/>
          <w:szCs w:val="20"/>
          <w:spacing w:val="30"/>
        </w:rPr>
        <w:t xml:space="preserve"> </w:t>
      </w:r>
      <w:r>
        <w:rPr>
          <w:sz w:val="20"/>
          <w:szCs w:val="20"/>
          <w:spacing w:val="-8"/>
        </w:rPr>
        <w:t>圆环</w:t>
      </w:r>
    </w:p>
    <w:p>
      <w:pPr>
        <w:pStyle w:val="BodyText"/>
        <w:ind w:left="2831"/>
        <w:spacing w:before="162" w:line="227" w:lineRule="auto"/>
        <w:rPr>
          <w:sz w:val="20"/>
          <w:szCs w:val="20"/>
        </w:rPr>
      </w:pPr>
      <w:r>
        <w:rPr>
          <w:sz w:val="20"/>
          <w:szCs w:val="20"/>
          <w:spacing w:val="7"/>
        </w:rPr>
        <w:t>表</w:t>
      </w:r>
      <w:r>
        <w:rPr>
          <w:sz w:val="20"/>
          <w:szCs w:val="20"/>
          <w:spacing w:val="-23"/>
        </w:rPr>
        <w:t xml:space="preserve"> </w:t>
      </w:r>
      <w:r>
        <w:rPr>
          <w:sz w:val="20"/>
          <w:szCs w:val="20"/>
          <w:spacing w:val="7"/>
        </w:rPr>
        <w:t>3 环号及环尺寸与分数对照表</w:t>
      </w:r>
    </w:p>
    <w:p>
      <w:pPr>
        <w:spacing w:line="131" w:lineRule="exact"/>
        <w:rPr/>
      </w:pPr>
      <w:r/>
    </w:p>
    <w:tbl>
      <w:tblPr>
        <w:tblStyle w:val="TableNormal"/>
        <w:tblW w:w="8286" w:type="dxa"/>
        <w:tblInd w:w="178"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111"/>
        <w:gridCol w:w="851"/>
        <w:gridCol w:w="851"/>
        <w:gridCol w:w="870"/>
        <w:gridCol w:w="906"/>
        <w:gridCol w:w="934"/>
        <w:gridCol w:w="901"/>
        <w:gridCol w:w="1862"/>
      </w:tblGrid>
      <w:tr>
        <w:trPr>
          <w:trHeight w:val="553" w:hRule="atLeast"/>
        </w:trPr>
        <w:tc>
          <w:tcPr>
            <w:tcW w:w="1111" w:type="dxa"/>
            <w:vAlign w:val="top"/>
          </w:tcPr>
          <w:p>
            <w:pPr>
              <w:pStyle w:val="TableText"/>
              <w:ind w:left="351"/>
              <w:spacing w:before="102" w:line="229" w:lineRule="auto"/>
              <w:rPr/>
            </w:pPr>
            <w:r>
              <w:rPr>
                <w:spacing w:val="4"/>
              </w:rPr>
              <w:t>环号</w:t>
            </w:r>
          </w:p>
        </w:tc>
        <w:tc>
          <w:tcPr>
            <w:tcW w:w="851" w:type="dxa"/>
            <w:vAlign w:val="top"/>
          </w:tcPr>
          <w:p>
            <w:pPr>
              <w:pStyle w:val="TableText"/>
              <w:ind w:left="203" w:right="162" w:firstLine="55"/>
              <w:spacing w:before="35" w:line="234" w:lineRule="auto"/>
              <w:rPr/>
            </w:pPr>
            <w:r>
              <w:rPr>
                <w:spacing w:val="-10"/>
              </w:rPr>
              <w:t>1</w:t>
            </w:r>
            <w:r>
              <w:rPr>
                <w:spacing w:val="-38"/>
              </w:rPr>
              <w:t xml:space="preserve"> </w:t>
            </w:r>
            <w:r>
              <w:rPr>
                <w:spacing w:val="-10"/>
              </w:rPr>
              <w:t>环</w:t>
            </w:r>
            <w:r>
              <w:rPr>
                <w:spacing w:val="-6"/>
              </w:rPr>
              <w:t>(φ1)</w:t>
            </w:r>
          </w:p>
        </w:tc>
        <w:tc>
          <w:tcPr>
            <w:tcW w:w="851" w:type="dxa"/>
            <w:vAlign w:val="top"/>
          </w:tcPr>
          <w:p>
            <w:pPr>
              <w:pStyle w:val="TableText"/>
              <w:ind w:left="202" w:right="161" w:firstLine="44"/>
              <w:spacing w:before="35" w:line="234" w:lineRule="auto"/>
              <w:rPr/>
            </w:pPr>
            <w:r>
              <w:rPr>
                <w:spacing w:val="-3"/>
              </w:rPr>
              <w:t>2</w:t>
            </w:r>
            <w:r>
              <w:rPr>
                <w:spacing w:val="-41"/>
              </w:rPr>
              <w:t xml:space="preserve"> </w:t>
            </w:r>
            <w:r>
              <w:rPr>
                <w:spacing w:val="-3"/>
              </w:rPr>
              <w:t>环</w:t>
            </w:r>
            <w:r>
              <w:rPr>
                <w:spacing w:val="-5"/>
              </w:rPr>
              <w:t>(φ2)</w:t>
            </w:r>
          </w:p>
        </w:tc>
        <w:tc>
          <w:tcPr>
            <w:tcW w:w="870" w:type="dxa"/>
            <w:vAlign w:val="top"/>
          </w:tcPr>
          <w:p>
            <w:pPr>
              <w:pStyle w:val="TableText"/>
              <w:ind w:left="213" w:right="172" w:firstLine="46"/>
              <w:spacing w:before="35" w:line="234" w:lineRule="auto"/>
              <w:rPr/>
            </w:pPr>
            <w:r>
              <w:rPr>
                <w:spacing w:val="-4"/>
              </w:rPr>
              <w:t>3</w:t>
            </w:r>
            <w:r>
              <w:rPr>
                <w:spacing w:val="-41"/>
              </w:rPr>
              <w:t xml:space="preserve"> </w:t>
            </w:r>
            <w:r>
              <w:rPr>
                <w:spacing w:val="-4"/>
              </w:rPr>
              <w:t>环</w:t>
            </w:r>
            <w:r>
              <w:rPr>
                <w:spacing w:val="-6"/>
              </w:rPr>
              <w:t>(φ3)</w:t>
            </w:r>
          </w:p>
        </w:tc>
        <w:tc>
          <w:tcPr>
            <w:tcW w:w="906" w:type="dxa"/>
            <w:vAlign w:val="top"/>
          </w:tcPr>
          <w:p>
            <w:pPr>
              <w:pStyle w:val="TableText"/>
              <w:ind w:left="233" w:right="187" w:firstLine="39"/>
              <w:spacing w:before="35" w:line="234" w:lineRule="auto"/>
              <w:rPr/>
            </w:pPr>
            <w:r>
              <w:rPr>
                <w:spacing w:val="-1"/>
              </w:rPr>
              <w:t>4</w:t>
            </w:r>
            <w:r>
              <w:rPr>
                <w:spacing w:val="-38"/>
              </w:rPr>
              <w:t xml:space="preserve"> </w:t>
            </w:r>
            <w:r>
              <w:rPr>
                <w:spacing w:val="-1"/>
              </w:rPr>
              <w:t>环</w:t>
            </w:r>
            <w:r>
              <w:rPr>
                <w:spacing w:val="-6"/>
              </w:rPr>
              <w:t>(φ4)</w:t>
            </w:r>
          </w:p>
        </w:tc>
        <w:tc>
          <w:tcPr>
            <w:tcW w:w="934" w:type="dxa"/>
            <w:vAlign w:val="top"/>
          </w:tcPr>
          <w:p>
            <w:pPr>
              <w:pStyle w:val="TableText"/>
              <w:ind w:left="246" w:right="200" w:firstLine="46"/>
              <w:spacing w:before="35" w:line="234" w:lineRule="auto"/>
              <w:rPr/>
            </w:pPr>
            <w:r>
              <w:rPr>
                <w:spacing w:val="-4"/>
              </w:rPr>
              <w:t>5</w:t>
            </w:r>
            <w:r>
              <w:rPr>
                <w:spacing w:val="-41"/>
              </w:rPr>
              <w:t xml:space="preserve"> </w:t>
            </w:r>
            <w:r>
              <w:rPr>
                <w:spacing w:val="-4"/>
              </w:rPr>
              <w:t>环</w:t>
            </w:r>
            <w:r>
              <w:rPr>
                <w:spacing w:val="-5"/>
              </w:rPr>
              <w:t>(φ5)</w:t>
            </w:r>
          </w:p>
        </w:tc>
        <w:tc>
          <w:tcPr>
            <w:tcW w:w="901" w:type="dxa"/>
            <w:vAlign w:val="top"/>
          </w:tcPr>
          <w:p>
            <w:pPr>
              <w:pStyle w:val="TableText"/>
              <w:ind w:left="231" w:right="184" w:firstLine="44"/>
              <w:spacing w:before="35" w:line="234" w:lineRule="auto"/>
              <w:rPr/>
            </w:pPr>
            <w:r>
              <w:rPr>
                <w:spacing w:val="-3"/>
              </w:rPr>
              <w:t>6</w:t>
            </w:r>
            <w:r>
              <w:rPr>
                <w:spacing w:val="-40"/>
              </w:rPr>
              <w:t xml:space="preserve"> </w:t>
            </w:r>
            <w:r>
              <w:rPr>
                <w:spacing w:val="-3"/>
              </w:rPr>
              <w:t>环</w:t>
            </w:r>
            <w:r>
              <w:rPr>
                <w:spacing w:val="-6"/>
              </w:rPr>
              <w:t>(φ6)</w:t>
            </w:r>
          </w:p>
        </w:tc>
        <w:tc>
          <w:tcPr>
            <w:tcW w:w="1862" w:type="dxa"/>
            <w:vAlign w:val="top"/>
            <w:vMerge w:val="restart"/>
            <w:tcBorders>
              <w:bottom w:val="nil"/>
            </w:tcBorders>
          </w:tcPr>
          <w:p>
            <w:pPr>
              <w:spacing w:line="244" w:lineRule="auto"/>
              <w:rPr>
                <w:rFonts w:ascii="Arial"/>
                <w:sz w:val="21"/>
              </w:rPr>
            </w:pPr>
            <w:r/>
          </w:p>
          <w:p>
            <w:pPr>
              <w:pStyle w:val="TableText"/>
              <w:ind w:left="123"/>
              <w:spacing w:before="65" w:line="228" w:lineRule="auto"/>
              <w:rPr/>
            </w:pPr>
            <w:r>
              <w:rPr>
                <w:spacing w:val="6"/>
              </w:rPr>
              <w:t>6</w:t>
            </w:r>
            <w:r>
              <w:rPr>
                <w:spacing w:val="-32"/>
              </w:rPr>
              <w:t xml:space="preserve"> </w:t>
            </w:r>
            <w:r>
              <w:rPr>
                <w:spacing w:val="6"/>
              </w:rPr>
              <w:t>环外及物料倾倒</w:t>
            </w:r>
          </w:p>
        </w:tc>
      </w:tr>
      <w:tr>
        <w:trPr>
          <w:trHeight w:val="411" w:hRule="atLeast"/>
        </w:trPr>
        <w:tc>
          <w:tcPr>
            <w:tcW w:w="1111" w:type="dxa"/>
            <w:vAlign w:val="top"/>
          </w:tcPr>
          <w:p>
            <w:pPr>
              <w:pStyle w:val="TableText"/>
              <w:ind w:left="144"/>
              <w:spacing w:before="31" w:line="227" w:lineRule="auto"/>
              <w:rPr/>
            </w:pPr>
            <w:r>
              <w:rPr>
                <w:spacing w:val="6"/>
              </w:rPr>
              <w:t>外径尺寸</w:t>
            </w:r>
          </w:p>
        </w:tc>
        <w:tc>
          <w:tcPr>
            <w:tcW w:w="851" w:type="dxa"/>
            <w:vAlign w:val="top"/>
          </w:tcPr>
          <w:p>
            <w:pPr>
              <w:pStyle w:val="TableText"/>
              <w:ind w:left="262"/>
              <w:spacing w:before="31" w:line="263" w:lineRule="exact"/>
              <w:rPr/>
            </w:pPr>
            <w:r>
              <w:rPr>
                <w:spacing w:val="-11"/>
                <w:position w:val="1"/>
              </w:rPr>
              <w:t>φ+3</w:t>
            </w:r>
          </w:p>
        </w:tc>
        <w:tc>
          <w:tcPr>
            <w:tcW w:w="851" w:type="dxa"/>
            <w:vAlign w:val="top"/>
          </w:tcPr>
          <w:p>
            <w:pPr>
              <w:pStyle w:val="TableText"/>
              <w:ind w:left="208"/>
              <w:spacing w:before="31" w:line="263" w:lineRule="exact"/>
              <w:rPr/>
            </w:pPr>
            <w:r>
              <w:rPr>
                <w:spacing w:val="-13"/>
                <w:position w:val="1"/>
              </w:rPr>
              <w:t>φ</w:t>
            </w:r>
            <w:r>
              <w:rPr>
                <w:spacing w:val="-73"/>
                <w:position w:val="1"/>
              </w:rPr>
              <w:t xml:space="preserve"> </w:t>
            </w:r>
            <w:r>
              <w:rPr>
                <w:spacing w:val="-13"/>
                <w:position w:val="1"/>
              </w:rPr>
              <w:t>1+5</w:t>
            </w:r>
          </w:p>
        </w:tc>
        <w:tc>
          <w:tcPr>
            <w:tcW w:w="870" w:type="dxa"/>
            <w:vAlign w:val="top"/>
          </w:tcPr>
          <w:p>
            <w:pPr>
              <w:pStyle w:val="TableText"/>
              <w:ind w:left="218"/>
              <w:spacing w:before="31" w:line="263" w:lineRule="exact"/>
              <w:rPr/>
            </w:pPr>
            <w:r>
              <w:rPr>
                <w:spacing w:val="-6"/>
                <w:position w:val="1"/>
              </w:rPr>
              <w:t>φ2+7</w:t>
            </w:r>
          </w:p>
        </w:tc>
        <w:tc>
          <w:tcPr>
            <w:tcW w:w="906" w:type="dxa"/>
            <w:vAlign w:val="top"/>
          </w:tcPr>
          <w:p>
            <w:pPr>
              <w:pStyle w:val="TableText"/>
              <w:ind w:left="186"/>
              <w:spacing w:before="31" w:line="263" w:lineRule="exact"/>
              <w:rPr/>
            </w:pPr>
            <w:r>
              <w:rPr>
                <w:spacing w:val="-5"/>
                <w:position w:val="1"/>
              </w:rPr>
              <w:t>φ3+10</w:t>
            </w:r>
          </w:p>
        </w:tc>
        <w:tc>
          <w:tcPr>
            <w:tcW w:w="934" w:type="dxa"/>
            <w:vAlign w:val="top"/>
          </w:tcPr>
          <w:p>
            <w:pPr>
              <w:pStyle w:val="TableText"/>
              <w:ind w:left="199"/>
              <w:spacing w:before="31" w:line="263" w:lineRule="exact"/>
              <w:rPr/>
            </w:pPr>
            <w:r>
              <w:rPr>
                <w:spacing w:val="-4"/>
                <w:position w:val="1"/>
              </w:rPr>
              <w:t>φ4+10</w:t>
            </w:r>
          </w:p>
        </w:tc>
        <w:tc>
          <w:tcPr>
            <w:tcW w:w="901" w:type="dxa"/>
            <w:vAlign w:val="top"/>
          </w:tcPr>
          <w:p>
            <w:pPr>
              <w:pStyle w:val="TableText"/>
              <w:ind w:left="184"/>
              <w:spacing w:before="31" w:line="263" w:lineRule="exact"/>
              <w:rPr/>
            </w:pPr>
            <w:r>
              <w:rPr>
                <w:spacing w:val="-5"/>
                <w:position w:val="1"/>
              </w:rPr>
              <w:t>φ5+10</w:t>
            </w:r>
          </w:p>
        </w:tc>
        <w:tc>
          <w:tcPr>
            <w:tcW w:w="1862" w:type="dxa"/>
            <w:vAlign w:val="top"/>
            <w:vMerge w:val="continue"/>
            <w:tcBorders>
              <w:top w:val="nil"/>
            </w:tcBorders>
          </w:tcPr>
          <w:p>
            <w:pPr>
              <w:rPr>
                <w:rFonts w:ascii="Arial"/>
                <w:sz w:val="21"/>
              </w:rPr>
            </w:pPr>
            <w:r/>
          </w:p>
        </w:tc>
      </w:tr>
      <w:tr>
        <w:trPr>
          <w:trHeight w:val="417" w:hRule="atLeast"/>
        </w:trPr>
        <w:tc>
          <w:tcPr>
            <w:tcW w:w="1111" w:type="dxa"/>
            <w:vAlign w:val="top"/>
          </w:tcPr>
          <w:p>
            <w:pPr>
              <w:pStyle w:val="TableText"/>
              <w:ind w:left="354"/>
              <w:spacing w:before="35" w:line="228" w:lineRule="auto"/>
              <w:rPr/>
            </w:pPr>
            <w:r>
              <w:rPr>
                <w:spacing w:val="3"/>
              </w:rPr>
              <w:t>分数</w:t>
            </w:r>
          </w:p>
        </w:tc>
        <w:tc>
          <w:tcPr>
            <w:tcW w:w="851" w:type="dxa"/>
            <w:vAlign w:val="top"/>
          </w:tcPr>
          <w:p>
            <w:pPr>
              <w:pStyle w:val="TableText"/>
              <w:ind w:left="338"/>
              <w:spacing w:before="35" w:line="269" w:lineRule="exact"/>
              <w:rPr/>
            </w:pPr>
            <w:r>
              <w:rPr>
                <w:spacing w:val="-7"/>
                <w:position w:val="1"/>
              </w:rPr>
              <w:t>15</w:t>
            </w:r>
          </w:p>
        </w:tc>
        <w:tc>
          <w:tcPr>
            <w:tcW w:w="851" w:type="dxa"/>
            <w:vAlign w:val="top"/>
          </w:tcPr>
          <w:p>
            <w:pPr>
              <w:pStyle w:val="TableText"/>
              <w:ind w:left="339"/>
              <w:spacing w:before="35" w:line="269" w:lineRule="exact"/>
              <w:rPr/>
            </w:pPr>
            <w:r>
              <w:rPr>
                <w:spacing w:val="-7"/>
                <w:position w:val="1"/>
              </w:rPr>
              <w:t>10</w:t>
            </w:r>
          </w:p>
        </w:tc>
        <w:tc>
          <w:tcPr>
            <w:tcW w:w="870" w:type="dxa"/>
            <w:vAlign w:val="top"/>
          </w:tcPr>
          <w:p>
            <w:pPr>
              <w:pStyle w:val="TableText"/>
              <w:ind w:left="392"/>
              <w:spacing w:before="35" w:line="269" w:lineRule="exact"/>
              <w:rPr/>
            </w:pPr>
            <w:r>
              <w:rPr>
                <w:position w:val="1"/>
              </w:rPr>
              <w:t>7</w:t>
            </w:r>
          </w:p>
        </w:tc>
        <w:tc>
          <w:tcPr>
            <w:tcW w:w="906" w:type="dxa"/>
            <w:vAlign w:val="top"/>
          </w:tcPr>
          <w:p>
            <w:pPr>
              <w:pStyle w:val="TableText"/>
              <w:ind w:left="409"/>
              <w:spacing w:before="35" w:line="269" w:lineRule="exact"/>
              <w:rPr/>
            </w:pPr>
            <w:r>
              <w:rPr>
                <w:position w:val="1"/>
              </w:rPr>
              <w:t>5</w:t>
            </w:r>
          </w:p>
        </w:tc>
        <w:tc>
          <w:tcPr>
            <w:tcW w:w="934" w:type="dxa"/>
            <w:vAlign w:val="top"/>
          </w:tcPr>
          <w:p>
            <w:pPr>
              <w:pStyle w:val="TableText"/>
              <w:ind w:left="425"/>
              <w:spacing w:before="35" w:line="269" w:lineRule="exact"/>
              <w:rPr/>
            </w:pPr>
            <w:r>
              <w:rPr>
                <w:position w:val="1"/>
              </w:rPr>
              <w:t>3</w:t>
            </w:r>
          </w:p>
        </w:tc>
        <w:tc>
          <w:tcPr>
            <w:tcW w:w="901" w:type="dxa"/>
            <w:vAlign w:val="top"/>
          </w:tcPr>
          <w:p>
            <w:pPr>
              <w:pStyle w:val="TableText"/>
              <w:ind w:left="419"/>
              <w:spacing w:before="35" w:line="270" w:lineRule="exact"/>
              <w:rPr/>
            </w:pPr>
            <w:r>
              <w:rPr>
                <w:position w:val="1"/>
              </w:rPr>
              <w:t>1</w:t>
            </w:r>
          </w:p>
        </w:tc>
        <w:tc>
          <w:tcPr>
            <w:tcW w:w="1862" w:type="dxa"/>
            <w:vAlign w:val="top"/>
          </w:tcPr>
          <w:p>
            <w:pPr>
              <w:pStyle w:val="TableText"/>
              <w:ind w:left="884"/>
              <w:spacing w:before="35" w:line="269" w:lineRule="exact"/>
              <w:rPr/>
            </w:pPr>
            <w:r>
              <w:rPr>
                <w:position w:val="1"/>
              </w:rPr>
              <w:t>0</w:t>
            </w:r>
          </w:p>
        </w:tc>
      </w:tr>
    </w:tbl>
    <w:p>
      <w:pPr>
        <w:pStyle w:val="BodyText"/>
        <w:ind w:left="6"/>
        <w:spacing w:before="100" w:line="221" w:lineRule="auto"/>
        <w:rPr>
          <w:sz w:val="28"/>
          <w:szCs w:val="28"/>
        </w:rPr>
      </w:pPr>
      <w:r>
        <w:rPr>
          <w:sz w:val="28"/>
          <w:szCs w:val="28"/>
          <w:b/>
          <w:bCs/>
          <w:spacing w:val="-4"/>
        </w:rPr>
        <w:t>2)</w:t>
      </w:r>
      <w:r>
        <w:rPr>
          <w:sz w:val="28"/>
          <w:szCs w:val="28"/>
          <w:spacing w:val="-4"/>
        </w:rPr>
        <w:t xml:space="preserve"> </w:t>
      </w:r>
      <w:r>
        <w:rPr>
          <w:sz w:val="28"/>
          <w:szCs w:val="28"/>
          <w:b/>
          <w:bCs/>
          <w:spacing w:val="-4"/>
        </w:rPr>
        <w:t>搬运的物料</w:t>
      </w:r>
    </w:p>
    <w:p>
      <w:pPr>
        <w:pStyle w:val="BodyText"/>
        <w:ind w:firstLine="479"/>
        <w:spacing w:before="173" w:line="360" w:lineRule="auto"/>
        <w:rPr/>
      </w:pPr>
      <w:r>
        <w:rPr>
          <w:spacing w:val="1"/>
        </w:rPr>
        <w:t>搬运机器人所搬运物料的材料为</w:t>
      </w:r>
      <w:r>
        <w:rPr>
          <w:spacing w:val="-29"/>
        </w:rPr>
        <w:t xml:space="preserve"> </w:t>
      </w:r>
      <w:r>
        <w:rPr>
          <w:spacing w:val="1"/>
        </w:rPr>
        <w:t>3D</w:t>
      </w:r>
      <w:r>
        <w:rPr>
          <w:spacing w:val="-39"/>
        </w:rPr>
        <w:t xml:space="preserve"> </w:t>
      </w:r>
      <w:r>
        <w:rPr>
          <w:spacing w:val="1"/>
        </w:rPr>
        <w:t>打印</w:t>
      </w:r>
      <w:r>
        <w:rPr>
          <w:spacing w:val="-54"/>
        </w:rPr>
        <w:t xml:space="preserve"> </w:t>
      </w:r>
      <w:r>
        <w:rPr/>
        <w:t>ABS</w:t>
      </w:r>
      <w:r>
        <w:rPr>
          <w:spacing w:val="-43"/>
        </w:rPr>
        <w:t xml:space="preserve"> </w:t>
      </w:r>
      <w:r>
        <w:rPr>
          <w:spacing w:val="1"/>
        </w:rPr>
        <w:t>或</w:t>
      </w:r>
      <w:r>
        <w:rPr>
          <w:spacing w:val="-49"/>
        </w:rPr>
        <w:t xml:space="preserve"> </w:t>
      </w:r>
      <w:r>
        <w:rPr/>
        <w:t>PLA</w:t>
      </w:r>
      <w:r>
        <w:rPr>
          <w:spacing w:val="1"/>
        </w:rPr>
        <w:t>，物料尺寸不超过</w:t>
      </w:r>
      <w:r>
        <w:rPr>
          <w:spacing w:val="-45"/>
        </w:rPr>
        <w:t xml:space="preserve"> </w:t>
      </w:r>
      <w:r>
        <w:rPr>
          <w:spacing w:val="1"/>
        </w:rPr>
        <w:t>80</w:t>
      </w:r>
      <w:r>
        <w:rPr/>
        <w:t>mm</w:t>
      </w:r>
      <w:r>
        <w:rPr>
          <w:spacing w:val="1"/>
        </w:rPr>
        <w:t>，</w:t>
      </w:r>
      <w:r>
        <w:rPr>
          <w:spacing w:val="4"/>
        </w:rPr>
        <w:t>重量不超过</w:t>
      </w:r>
      <w:r>
        <w:rPr>
          <w:spacing w:val="-18"/>
        </w:rPr>
        <w:t xml:space="preserve"> </w:t>
      </w:r>
      <w:r>
        <w:rPr>
          <w:spacing w:val="4"/>
        </w:rPr>
        <w:t>100g。初赛物料颜色包括红色、黄色、蓝色、绿色、黑色、浅蓝等，</w:t>
      </w:r>
      <w:r>
        <w:rPr>
          <w:spacing w:val="-1"/>
        </w:rPr>
        <w:t>其中红色、黄色、蓝色、绿色、黑色为</w:t>
      </w:r>
      <w:r>
        <w:rPr>
          <w:spacing w:val="-39"/>
        </w:rPr>
        <w:t xml:space="preserve"> </w:t>
      </w:r>
      <w:r>
        <w:rPr>
          <w:spacing w:val="-1"/>
        </w:rPr>
        <w:t>ABS</w:t>
      </w:r>
      <w:r>
        <w:rPr>
          <w:spacing w:val="-51"/>
        </w:rPr>
        <w:t xml:space="preserve"> </w:t>
      </w:r>
      <w:r>
        <w:rPr>
          <w:spacing w:val="-1"/>
        </w:rPr>
        <w:t>材料，浅蓝为</w:t>
      </w:r>
      <w:r>
        <w:rPr>
          <w:spacing w:val="-54"/>
        </w:rPr>
        <w:t xml:space="preserve"> </w:t>
      </w:r>
      <w:r>
        <w:rPr>
          <w:spacing w:val="-1"/>
        </w:rPr>
        <w:t>PLA</w:t>
      </w:r>
      <w:r>
        <w:rPr>
          <w:spacing w:val="-48"/>
        </w:rPr>
        <w:t xml:space="preserve"> </w:t>
      </w:r>
      <w:r>
        <w:rPr>
          <w:spacing w:val="-1"/>
        </w:rPr>
        <w:t>材料。每种颜色两个</w:t>
      </w:r>
      <w:r>
        <w:rPr>
          <w:spacing w:val="5"/>
        </w:rPr>
        <w:t>（</w:t>
      </w:r>
      <w:r>
        <w:rPr>
          <w:b/>
          <w:bCs/>
          <w:spacing w:val="5"/>
        </w:rPr>
        <w:t>现场比赛的物料可能会有一定色差，在一定范围内变化</w:t>
      </w:r>
      <w:r>
        <w:rPr>
          <w:spacing w:val="5"/>
        </w:rPr>
        <w:t>，参赛队应适应这种变</w:t>
      </w:r>
      <w:r>
        <w:rPr/>
        <w:t>化）。初赛时，通过扫描二维码方式确定需要搬运的三种不同颜色的物料，三种颜</w:t>
      </w:r>
      <w:r>
        <w:rPr>
          <w:spacing w:val="-7"/>
        </w:rPr>
        <w:t>色的物料使用同一种形状（如图</w:t>
      </w:r>
      <w:r>
        <w:rPr>
          <w:spacing w:val="-35"/>
        </w:rPr>
        <w:t xml:space="preserve"> </w:t>
      </w:r>
      <w:r>
        <w:rPr>
          <w:spacing w:val="-7"/>
        </w:rPr>
        <w:t>5</w:t>
      </w:r>
      <w:r>
        <w:rPr>
          <w:spacing w:val="-51"/>
        </w:rPr>
        <w:t xml:space="preserve"> </w:t>
      </w:r>
      <w:r>
        <w:rPr>
          <w:spacing w:val="-7"/>
        </w:rPr>
        <w:t>所示）。</w:t>
      </w:r>
    </w:p>
    <w:p>
      <w:pPr>
        <w:spacing w:line="360" w:lineRule="auto"/>
        <w:sectPr>
          <w:footerReference w:type="default" r:id="rId7"/>
          <w:pgSz w:w="11920" w:h="16840"/>
          <w:pgMar w:top="1431" w:right="1580" w:bottom="915" w:left="1687" w:header="0" w:footer="751" w:gutter="0"/>
        </w:sectPr>
        <w:rPr/>
      </w:pPr>
    </w:p>
    <w:p>
      <w:pPr>
        <w:ind w:firstLine="2706"/>
        <w:spacing w:before="68" w:line="3679" w:lineRule="exact"/>
        <w:rPr/>
      </w:pPr>
      <w:r>
        <w:rPr>
          <w:position w:val="-73"/>
        </w:rPr>
        <w:drawing>
          <wp:inline distT="0" distB="0" distL="0" distR="0">
            <wp:extent cx="2052827" cy="2336291"/>
            <wp:effectExtent l="0" t="0" r="0" b="0"/>
            <wp:docPr id="10" name="IM 10"/>
            <wp:cNvGraphicFramePr/>
            <a:graphic>
              <a:graphicData uri="http://schemas.openxmlformats.org/drawingml/2006/picture">
                <pic:pic>
                  <pic:nvPicPr>
                    <pic:cNvPr id="10" name="IM 10"/>
                    <pic:cNvPicPr/>
                  </pic:nvPicPr>
                  <pic:blipFill>
                    <a:blip r:embed="rId11"/>
                    <a:stretch>
                      <a:fillRect/>
                    </a:stretch>
                  </pic:blipFill>
                  <pic:spPr>
                    <a:xfrm rot="0">
                      <a:off x="0" y="0"/>
                      <a:ext cx="2052827" cy="2336291"/>
                    </a:xfrm>
                    <a:prstGeom prst="rect">
                      <a:avLst/>
                    </a:prstGeom>
                  </pic:spPr>
                </pic:pic>
              </a:graphicData>
            </a:graphic>
          </wp:inline>
        </w:drawing>
      </w:r>
    </w:p>
    <w:p>
      <w:pPr>
        <w:pStyle w:val="BodyText"/>
        <w:ind w:left="3382"/>
        <w:spacing w:before="176" w:line="228" w:lineRule="auto"/>
        <w:rPr>
          <w:sz w:val="20"/>
          <w:szCs w:val="20"/>
        </w:rPr>
      </w:pPr>
      <w:r>
        <w:rPr>
          <w:sz w:val="20"/>
          <w:szCs w:val="20"/>
          <w:spacing w:val="4"/>
        </w:rPr>
        <w:t>图</w:t>
      </w:r>
      <w:r>
        <w:rPr>
          <w:sz w:val="20"/>
          <w:szCs w:val="20"/>
          <w:spacing w:val="-28"/>
        </w:rPr>
        <w:t xml:space="preserve"> </w:t>
      </w:r>
      <w:r>
        <w:rPr>
          <w:sz w:val="20"/>
          <w:szCs w:val="20"/>
          <w:spacing w:val="4"/>
        </w:rPr>
        <w:t>5 初赛的物料形状</w:t>
      </w:r>
    </w:p>
    <w:p>
      <w:pPr>
        <w:pStyle w:val="BodyText"/>
        <w:ind w:left="3" w:right="2" w:firstLine="487"/>
        <w:spacing w:before="166" w:line="360" w:lineRule="auto"/>
        <w:rPr/>
      </w:pPr>
      <w:r>
        <w:rPr>
          <w:spacing w:val="-1"/>
        </w:rPr>
        <w:t>决赛时，搬运机器人待搬运</w:t>
      </w:r>
      <w:r>
        <w:rPr>
          <w:b/>
          <w:bCs/>
          <w:spacing w:val="-1"/>
        </w:rPr>
        <w:t>物料相关信息</w:t>
      </w:r>
      <w:r>
        <w:rPr>
          <w:spacing w:val="-1"/>
        </w:rPr>
        <w:t>及</w:t>
      </w:r>
      <w:r>
        <w:rPr>
          <w:b/>
          <w:bCs/>
          <w:spacing w:val="-1"/>
        </w:rPr>
        <w:t>搬运任务的编码</w:t>
      </w:r>
      <w:r>
        <w:rPr>
          <w:b/>
          <w:bCs/>
          <w:spacing w:val="-2"/>
        </w:rPr>
        <w:t>及获取方式</w:t>
      </w:r>
      <w:r>
        <w:rPr>
          <w:spacing w:val="-2"/>
        </w:rPr>
        <w:t>等现场</w:t>
      </w:r>
      <w:r>
        <w:rPr/>
        <w:t>公布，形状及颜色有多种，为简单机械零件的抽象几何体（包括圆柱体、方形体、</w:t>
      </w:r>
      <w:r>
        <w:rPr>
          <w:spacing w:val="-1"/>
        </w:rPr>
        <w:t>三角形、球体、锥体，以及组合体等</w:t>
      </w:r>
      <w:r>
        <w:rPr>
          <w:spacing w:val="-49"/>
        </w:rPr>
        <w:t>），</w:t>
      </w:r>
      <w:r>
        <w:rPr>
          <w:spacing w:val="-1"/>
        </w:rPr>
        <w:t>具体物料形状、尺寸等以决赛现场为准。</w:t>
      </w:r>
    </w:p>
    <w:p>
      <w:pPr>
        <w:pStyle w:val="BodyText"/>
        <w:ind w:left="13"/>
        <w:spacing w:before="62" w:line="220" w:lineRule="auto"/>
        <w:rPr>
          <w:sz w:val="28"/>
          <w:szCs w:val="28"/>
        </w:rPr>
      </w:pPr>
      <w:r>
        <w:rPr>
          <w:sz w:val="28"/>
          <w:szCs w:val="28"/>
          <w:b/>
          <w:bCs/>
          <w:spacing w:val="-5"/>
        </w:rPr>
        <w:t>3)</w:t>
      </w:r>
      <w:r>
        <w:rPr>
          <w:sz w:val="28"/>
          <w:szCs w:val="28"/>
          <w:spacing w:val="-5"/>
        </w:rPr>
        <w:t xml:space="preserve"> </w:t>
      </w:r>
      <w:r>
        <w:rPr>
          <w:sz w:val="28"/>
          <w:szCs w:val="28"/>
          <w:b/>
          <w:bCs/>
          <w:spacing w:val="-5"/>
        </w:rPr>
        <w:t>任务编码</w:t>
      </w:r>
    </w:p>
    <w:p>
      <w:pPr>
        <w:pStyle w:val="BodyText"/>
        <w:ind w:left="2" w:firstLine="480"/>
        <w:spacing w:before="175" w:line="359" w:lineRule="auto"/>
        <w:rPr/>
      </w:pPr>
      <w:r>
        <w:rPr/>
        <w:t>搬运机器人的任务码由四组三位数组成，第一组三位数表示第一批三个物料的</w:t>
      </w:r>
      <w:r>
        <w:rPr/>
        <w:t>颜色和搬运顺序，第二组三位数表示第一批物料在粗加工区和暂存区的放置位置。</w:t>
      </w:r>
      <w:r>
        <w:rPr/>
        <w:t>第三组三位数表示第二批三个物料的颜色和搬运顺序，第四组三位数表示第二批物</w:t>
      </w:r>
      <w:r>
        <w:rPr>
          <w:spacing w:val="3"/>
        </w:rPr>
        <w:t>料在粗加工区的放置位置，四组三位数之间以“+</w:t>
      </w:r>
      <w:r>
        <w:rPr>
          <w:spacing w:val="-85"/>
        </w:rPr>
        <w:t xml:space="preserve"> </w:t>
      </w:r>
      <w:r>
        <w:rPr>
          <w:spacing w:val="3"/>
        </w:rPr>
        <w:t>”连接</w:t>
      </w:r>
      <w:r>
        <w:rPr>
          <w:spacing w:val="2"/>
        </w:rPr>
        <w:t>。颜色的编号如下：红色</w:t>
      </w:r>
      <w:r>
        <w:rPr>
          <w:spacing w:val="-1"/>
        </w:rPr>
        <w:t>1、黄色</w:t>
      </w:r>
      <w:r>
        <w:rPr>
          <w:spacing w:val="-48"/>
        </w:rPr>
        <w:t xml:space="preserve"> </w:t>
      </w:r>
      <w:r>
        <w:rPr>
          <w:spacing w:val="-1"/>
        </w:rPr>
        <w:t>2、蓝色</w:t>
      </w:r>
      <w:r>
        <w:rPr>
          <w:spacing w:val="-46"/>
        </w:rPr>
        <w:t xml:space="preserve"> </w:t>
      </w:r>
      <w:r>
        <w:rPr>
          <w:spacing w:val="-1"/>
        </w:rPr>
        <w:t>3、绿色</w:t>
      </w:r>
      <w:r>
        <w:rPr>
          <w:spacing w:val="-54"/>
        </w:rPr>
        <w:t xml:space="preserve"> </w:t>
      </w:r>
      <w:r>
        <w:rPr>
          <w:spacing w:val="-1"/>
        </w:rPr>
        <w:t>4、黑色</w:t>
      </w:r>
      <w:r>
        <w:rPr>
          <w:spacing w:val="-45"/>
        </w:rPr>
        <w:t xml:space="preserve"> </w:t>
      </w:r>
      <w:r>
        <w:rPr>
          <w:spacing w:val="-1"/>
        </w:rPr>
        <w:t>5、浅</w:t>
      </w:r>
      <w:r>
        <w:rPr>
          <w:spacing w:val="-2"/>
        </w:rPr>
        <w:t>蓝</w:t>
      </w:r>
      <w:r>
        <w:rPr>
          <w:spacing w:val="-49"/>
        </w:rPr>
        <w:t xml:space="preserve"> </w:t>
      </w:r>
      <w:r>
        <w:rPr>
          <w:spacing w:val="-2"/>
        </w:rPr>
        <w:t>6。例如</w:t>
      </w:r>
      <w:r>
        <w:rPr>
          <w:spacing w:val="-33"/>
        </w:rPr>
        <w:t xml:space="preserve"> </w:t>
      </w:r>
      <w:r>
        <w:rPr>
          <w:spacing w:val="-2"/>
        </w:rPr>
        <w:t>156+123+516+231，表示第一批</w:t>
      </w:r>
      <w:r>
        <w:rPr>
          <w:spacing w:val="-1"/>
        </w:rPr>
        <w:t>搬运物料的顺序是红色、黑色、浅蓝，分别放置在粗加工区和暂存区的</w:t>
      </w:r>
      <w:r>
        <w:rPr>
          <w:spacing w:val="-26"/>
        </w:rPr>
        <w:t xml:space="preserve"> </w:t>
      </w:r>
      <w:r>
        <w:rPr>
          <w:spacing w:val="-1"/>
        </w:rPr>
        <w:t>1、2、3</w:t>
      </w:r>
      <w:r>
        <w:rPr>
          <w:spacing w:val="-45"/>
        </w:rPr>
        <w:t xml:space="preserve"> </w:t>
      </w:r>
      <w:r>
        <w:rPr>
          <w:spacing w:val="-1"/>
        </w:rPr>
        <w:t>号</w:t>
      </w:r>
      <w:r>
        <w:rPr>
          <w:spacing w:val="2"/>
        </w:rPr>
        <w:t>圆环上，第二批搬运物料的顺序是黑色、红色</w:t>
      </w:r>
      <w:r>
        <w:rPr>
          <w:spacing w:val="1"/>
        </w:rPr>
        <w:t>、浅蓝，放置在粗加工区的</w:t>
      </w:r>
      <w:r>
        <w:rPr>
          <w:spacing w:val="-45"/>
        </w:rPr>
        <w:t xml:space="preserve"> </w:t>
      </w:r>
      <w:r>
        <w:rPr>
          <w:spacing w:val="1"/>
        </w:rPr>
        <w:t>2、3、1</w:t>
      </w:r>
      <w:r>
        <w:rPr>
          <w:spacing w:val="-2"/>
        </w:rPr>
        <w:t>号圆环上。</w:t>
      </w:r>
    </w:p>
    <w:p>
      <w:pPr>
        <w:pStyle w:val="BodyText"/>
        <w:ind w:left="4" w:right="2" w:firstLine="479"/>
        <w:spacing w:before="1" w:line="360" w:lineRule="auto"/>
        <w:rPr/>
      </w:pPr>
      <w:r>
        <w:rPr>
          <w:spacing w:val="-1"/>
        </w:rPr>
        <w:t>搬运机器人比赛中在每个赛场内侧垂直安装</w:t>
      </w:r>
      <w:r>
        <w:rPr>
          <w:spacing w:val="-32"/>
        </w:rPr>
        <w:t xml:space="preserve"> </w:t>
      </w:r>
      <w:r>
        <w:rPr>
          <w:spacing w:val="-1"/>
        </w:rPr>
        <w:t>1</w:t>
      </w:r>
      <w:r>
        <w:rPr>
          <w:spacing w:val="-48"/>
        </w:rPr>
        <w:t xml:space="preserve"> </w:t>
      </w:r>
      <w:r>
        <w:rPr>
          <w:spacing w:val="-1"/>
        </w:rPr>
        <w:t>个</w:t>
      </w:r>
      <w:r>
        <w:rPr>
          <w:spacing w:val="-59"/>
        </w:rPr>
        <w:t xml:space="preserve"> </w:t>
      </w:r>
      <w:r>
        <w:rPr>
          <w:spacing w:val="-2"/>
        </w:rPr>
        <w:t>A4</w:t>
      </w:r>
      <w:r>
        <w:rPr>
          <w:spacing w:val="-47"/>
        </w:rPr>
        <w:t xml:space="preserve"> </w:t>
      </w:r>
      <w:r>
        <w:rPr>
          <w:spacing w:val="-2"/>
        </w:rPr>
        <w:t>大小的二维码板（横放</w:t>
      </w:r>
      <w:r>
        <w:rPr>
          <w:spacing w:val="-59"/>
        </w:rPr>
        <w:t>），</w:t>
      </w:r>
      <w:r>
        <w:rPr/>
        <w:t>其位置在规定范围内随机摆放，以实际比赛现场为准。二维码位于板的中间，尺寸</w:t>
      </w:r>
      <w:r>
        <w:rPr>
          <w:spacing w:val="-3"/>
        </w:rPr>
        <w:t>为</w:t>
      </w:r>
      <w:r>
        <w:rPr>
          <w:spacing w:val="-50"/>
        </w:rPr>
        <w:t xml:space="preserve"> </w:t>
      </w:r>
      <w:r>
        <w:rPr>
          <w:spacing w:val="-3"/>
        </w:rPr>
        <w:t>80×80mm（包含边框</w:t>
      </w:r>
      <w:r>
        <w:rPr>
          <w:spacing w:val="-54"/>
        </w:rPr>
        <w:t>），</w:t>
      </w:r>
      <w:r>
        <w:rPr>
          <w:spacing w:val="-3"/>
        </w:rPr>
        <w:t>用于搬运机器</w:t>
      </w:r>
      <w:r>
        <w:rPr>
          <w:spacing w:val="-4"/>
        </w:rPr>
        <w:t>人读取任务编码（编码随机产生）。</w:t>
      </w:r>
    </w:p>
    <w:p>
      <w:pPr>
        <w:spacing w:before="60" w:line="222" w:lineRule="auto"/>
        <w:outlineLvl w:val="0"/>
        <w:rPr>
          <w:rFonts w:ascii="SimHei" w:hAnsi="SimHei" w:eastAsia="SimHei" w:cs="SimHei"/>
          <w:sz w:val="28"/>
          <w:szCs w:val="28"/>
        </w:rPr>
      </w:pPr>
      <w:r>
        <w:rPr>
          <w:rFonts w:ascii="SimHei" w:hAnsi="SimHei" w:eastAsia="SimHei" w:cs="SimHei"/>
          <w:sz w:val="28"/>
          <w:szCs w:val="28"/>
          <w:spacing w:val="-1"/>
        </w:rPr>
        <w:t>4、赛项具体要求</w:t>
      </w:r>
    </w:p>
    <w:p>
      <w:pPr>
        <w:pStyle w:val="BodyText"/>
        <w:ind w:left="28"/>
        <w:spacing w:before="177" w:line="220" w:lineRule="auto"/>
        <w:rPr>
          <w:sz w:val="28"/>
          <w:szCs w:val="28"/>
        </w:rPr>
      </w:pPr>
      <w:r>
        <w:rPr>
          <w:sz w:val="28"/>
          <w:szCs w:val="28"/>
          <w:b/>
          <w:bCs/>
          <w:spacing w:val="-11"/>
        </w:rPr>
        <w:t>1)初赛</w:t>
      </w:r>
    </w:p>
    <w:p>
      <w:pPr>
        <w:pStyle w:val="BodyText"/>
        <w:ind w:left="57"/>
        <w:spacing w:before="182" w:line="220" w:lineRule="auto"/>
        <w:rPr>
          <w:sz w:val="28"/>
          <w:szCs w:val="28"/>
        </w:rPr>
      </w:pPr>
      <w:r>
        <w:rPr>
          <w:sz w:val="28"/>
          <w:szCs w:val="28"/>
          <w:b/>
          <w:bCs/>
          <w:spacing w:val="-9"/>
        </w:rPr>
        <w:t>(1)任务命题文档</w:t>
      </w:r>
    </w:p>
    <w:p>
      <w:pPr>
        <w:pStyle w:val="BodyText"/>
        <w:ind w:left="4" w:right="2" w:firstLine="480"/>
        <w:spacing w:before="175" w:line="360" w:lineRule="auto"/>
        <w:rPr/>
      </w:pPr>
      <w:r>
        <w:rPr/>
        <w:t>按照任务命题文档模版要求，参赛队提交决赛任务命题方案，策划决赛场景和</w:t>
      </w:r>
      <w:r>
        <w:rPr>
          <w:spacing w:val="3"/>
        </w:rPr>
        <w:t>规划决赛场地（包括放物料的区域及位置、物料放置方式等</w:t>
      </w:r>
      <w:r>
        <w:rPr>
          <w:spacing w:val="-49"/>
        </w:rPr>
        <w:t>），</w:t>
      </w:r>
      <w:r>
        <w:rPr>
          <w:spacing w:val="3"/>
        </w:rPr>
        <w:t>给出物料的形状、</w:t>
      </w:r>
    </w:p>
    <w:p>
      <w:pPr>
        <w:spacing w:line="360" w:lineRule="auto"/>
        <w:sectPr>
          <w:footerReference w:type="default" r:id="rId10"/>
          <w:pgSz w:w="11920" w:h="16840"/>
          <w:pgMar w:top="1431" w:right="1578" w:bottom="917" w:left="1683" w:header="0" w:footer="751" w:gutter="0"/>
        </w:sectPr>
        <w:rPr/>
      </w:pPr>
    </w:p>
    <w:p>
      <w:pPr>
        <w:pStyle w:val="BodyText"/>
        <w:ind w:left="10"/>
        <w:spacing w:before="102" w:line="219" w:lineRule="auto"/>
        <w:rPr/>
      </w:pPr>
      <w:r>
        <w:rPr>
          <w:spacing w:val="-6"/>
        </w:rPr>
        <w:t>尺寸以及零件图（工程图和三维图）。</w:t>
      </w:r>
    </w:p>
    <w:p>
      <w:pPr>
        <w:pStyle w:val="BodyText"/>
        <w:ind w:left="12" w:right="159" w:firstLine="478"/>
        <w:spacing w:before="184" w:line="359" w:lineRule="auto"/>
        <w:rPr/>
      </w:pPr>
      <w:r>
        <w:rPr/>
        <w:t>任务命题文档成绩不仅包括任务命题文档的内容质量符合命题规则，也包括文</w:t>
      </w:r>
      <w:r>
        <w:rPr>
          <w:spacing w:val="-2"/>
        </w:rPr>
        <w:t>档的排版规范。</w:t>
      </w:r>
    </w:p>
    <w:p>
      <w:pPr>
        <w:pStyle w:val="BodyText"/>
        <w:ind w:left="12" w:right="181" w:firstLine="480"/>
        <w:spacing w:line="360" w:lineRule="auto"/>
        <w:rPr/>
      </w:pPr>
      <w:r>
        <w:rPr/>
        <w:t>参赛队提交的文档雷同，文档中出现校名、姓名</w:t>
      </w:r>
      <w:r>
        <w:rPr>
          <w:spacing w:val="-1"/>
        </w:rPr>
        <w:t>、队名、特殊标记符号等，文</w:t>
      </w:r>
      <w:r>
        <w:rPr>
          <w:spacing w:val="-5"/>
        </w:rPr>
        <w:t>档成绩为</w:t>
      </w:r>
      <w:r>
        <w:rPr>
          <w:spacing w:val="-49"/>
        </w:rPr>
        <w:t xml:space="preserve"> </w:t>
      </w:r>
      <w:r>
        <w:rPr>
          <w:spacing w:val="-5"/>
        </w:rPr>
        <w:t>0</w:t>
      </w:r>
      <w:r>
        <w:rPr>
          <w:spacing w:val="-48"/>
        </w:rPr>
        <w:t xml:space="preserve"> </w:t>
      </w:r>
      <w:r>
        <w:rPr>
          <w:spacing w:val="-5"/>
        </w:rPr>
        <w:t>分。</w:t>
      </w:r>
    </w:p>
    <w:p>
      <w:pPr>
        <w:pStyle w:val="BodyText"/>
        <w:ind w:left="65"/>
        <w:spacing w:before="62" w:line="221" w:lineRule="auto"/>
        <w:rPr>
          <w:sz w:val="28"/>
          <w:szCs w:val="28"/>
        </w:rPr>
      </w:pPr>
      <w:r>
        <w:rPr>
          <w:sz w:val="28"/>
          <w:szCs w:val="28"/>
          <w:b/>
          <w:bCs/>
          <w:spacing w:val="-8"/>
        </w:rPr>
        <w:t>(2)</w:t>
      </w:r>
      <w:r>
        <w:rPr>
          <w:sz w:val="28"/>
          <w:szCs w:val="28"/>
          <w:spacing w:val="-8"/>
        </w:rPr>
        <w:t xml:space="preserve"> </w:t>
      </w:r>
      <w:r>
        <w:rPr>
          <w:sz w:val="28"/>
          <w:szCs w:val="28"/>
          <w:b/>
          <w:bCs/>
          <w:spacing w:val="-8"/>
        </w:rPr>
        <w:t>作品创意设计</w:t>
      </w:r>
    </w:p>
    <w:p>
      <w:pPr>
        <w:pStyle w:val="BodyText"/>
        <w:ind w:left="17" w:right="159" w:firstLine="476"/>
        <w:spacing w:before="173" w:line="359" w:lineRule="auto"/>
        <w:rPr/>
      </w:pPr>
      <w:r>
        <w:rPr/>
        <w:t>依据创新性、美观性和结构合理性等评价指标对本赛项所有作品创意（含外形</w:t>
      </w:r>
      <w:r>
        <w:rPr>
          <w:spacing w:val="-2"/>
        </w:rPr>
        <w:t>结构和内部结构）设计进行评价；</w:t>
      </w:r>
    </w:p>
    <w:p>
      <w:pPr>
        <w:pStyle w:val="BodyText"/>
        <w:ind w:left="491"/>
        <w:spacing w:before="1" w:line="217" w:lineRule="auto"/>
        <w:rPr/>
      </w:pPr>
      <w:r>
        <w:rPr/>
        <w:t>创新性主要从符合主题要求，搬运机器人的结构有</w:t>
      </w:r>
      <w:r>
        <w:rPr>
          <w:spacing w:val="-1"/>
        </w:rPr>
        <w:t>新意、创新等方面评价；</w:t>
      </w:r>
    </w:p>
    <w:p>
      <w:pPr>
        <w:pStyle w:val="BodyText"/>
        <w:ind w:left="493"/>
        <w:spacing w:before="182" w:line="218" w:lineRule="auto"/>
        <w:rPr/>
      </w:pPr>
      <w:r>
        <w:rPr>
          <w:spacing w:val="-1"/>
        </w:rPr>
        <w:t>美观性主要从整体美观性、外观协调性、布局合理性等方面评价；</w:t>
      </w:r>
    </w:p>
    <w:p>
      <w:pPr>
        <w:pStyle w:val="BodyText"/>
        <w:ind w:left="14" w:right="181" w:firstLine="478"/>
        <w:spacing w:before="186" w:line="361" w:lineRule="auto"/>
        <w:rPr/>
      </w:pPr>
      <w:r>
        <w:rPr/>
        <w:t>合理性主要从零部件的加工制作、机构选择的合理</w:t>
      </w:r>
      <w:r>
        <w:rPr>
          <w:spacing w:val="-1"/>
        </w:rPr>
        <w:t>性、拆卸是否方便以及实用</w:t>
      </w:r>
      <w:r>
        <w:rPr>
          <w:spacing w:val="-2"/>
        </w:rPr>
        <w:t>性等方面评价。</w:t>
      </w:r>
    </w:p>
    <w:p>
      <w:pPr>
        <w:pStyle w:val="BodyText"/>
        <w:ind w:left="65"/>
        <w:spacing w:before="59" w:line="220" w:lineRule="auto"/>
        <w:rPr>
          <w:sz w:val="28"/>
          <w:szCs w:val="28"/>
        </w:rPr>
      </w:pPr>
      <w:r>
        <w:rPr>
          <w:sz w:val="28"/>
          <w:szCs w:val="28"/>
          <w:b/>
          <w:bCs/>
          <w:spacing w:val="-11"/>
        </w:rPr>
        <w:t>(3)现场初赛</w:t>
      </w:r>
    </w:p>
    <w:p>
      <w:pPr>
        <w:pStyle w:val="BodyText"/>
        <w:ind w:left="11" w:right="159" w:firstLine="481"/>
        <w:spacing w:before="175" w:line="359" w:lineRule="auto"/>
        <w:rPr/>
      </w:pPr>
      <w:r>
        <w:rPr/>
        <w:t>依据抽签确定的现场初赛上场顺序和现场使用的场地数进行检录，并现场抽签</w:t>
      </w:r>
      <w:r>
        <w:rPr>
          <w:spacing w:val="-1"/>
        </w:rPr>
        <w:t>确定各参赛队现场初赛的场地号和出发位置。</w:t>
      </w:r>
    </w:p>
    <w:p>
      <w:pPr>
        <w:pStyle w:val="BodyText"/>
        <w:ind w:left="11" w:right="159" w:firstLine="481"/>
        <w:spacing w:before="1" w:line="359" w:lineRule="auto"/>
        <w:jc w:val="both"/>
        <w:rPr/>
      </w:pPr>
      <w:r>
        <w:rPr>
          <w:spacing w:val="-1"/>
        </w:rPr>
        <w:t>参赛队进入比赛场地进行调试，调试时间剩余</w:t>
      </w:r>
      <w:r>
        <w:rPr>
          <w:spacing w:val="-29"/>
        </w:rPr>
        <w:t xml:space="preserve"> </w:t>
      </w:r>
      <w:r>
        <w:rPr>
          <w:spacing w:val="-1"/>
        </w:rPr>
        <w:t>1</w:t>
      </w:r>
      <w:r>
        <w:rPr>
          <w:spacing w:val="-48"/>
        </w:rPr>
        <w:t xml:space="preserve"> </w:t>
      </w:r>
      <w:r>
        <w:rPr>
          <w:spacing w:val="-1"/>
        </w:rPr>
        <w:t>分钟时，抽签确定物料搬运任</w:t>
      </w:r>
      <w:r>
        <w:rPr>
          <w:spacing w:val="1"/>
        </w:rPr>
        <w:t>务。调试时间剩余</w:t>
      </w:r>
      <w:r>
        <w:rPr>
          <w:spacing w:val="-26"/>
        </w:rPr>
        <w:t xml:space="preserve"> </w:t>
      </w:r>
      <w:r>
        <w:rPr>
          <w:spacing w:val="1"/>
        </w:rPr>
        <w:t>30s，各参赛队的搬运机器人停止在场地上运行，将搬运机器人</w:t>
      </w:r>
      <w:r>
        <w:rPr/>
        <w:t>放置在抽签确定的出发位置，待机发车。助理裁判按照抽签结果将二维码板放好，</w:t>
      </w:r>
    </w:p>
    <w:p>
      <w:pPr>
        <w:pStyle w:val="BodyText"/>
        <w:ind w:firstLine="17"/>
        <w:spacing w:before="6" w:line="359" w:lineRule="auto"/>
        <w:jc w:val="both"/>
        <w:rPr/>
      </w:pPr>
      <w:r>
        <w:rPr/>
        <w:t>并将需要搬运的物料随机摆放至转盘上，启动转盘。调试时间结束后，现场裁判发</w:t>
      </w:r>
      <w:r>
        <w:rPr>
          <w:spacing w:val="7"/>
        </w:rPr>
        <w:t>出统一开始指令，计时开始。各参赛队启动搬运机器人，在规定时间内必须采用</w:t>
      </w:r>
      <w:r>
        <w:rPr/>
        <w:t>“一键式</w:t>
      </w:r>
      <w:r>
        <w:rPr>
          <w:spacing w:val="-88"/>
        </w:rPr>
        <w:t xml:space="preserve"> </w:t>
      </w:r>
      <w:r>
        <w:rPr/>
        <w:t>”启动方式（搬运机器人上必须有明确标识）启动搬</w:t>
      </w:r>
      <w:r>
        <w:rPr>
          <w:spacing w:val="-1"/>
        </w:rPr>
        <w:t>运机器人，且只有一</w:t>
      </w:r>
      <w:r>
        <w:rPr>
          <w:spacing w:val="1"/>
        </w:rPr>
        <w:t>次启动机会。启动时间到没有启动，本轮比赛结束。</w:t>
      </w:r>
      <w:r>
        <w:rPr/>
        <w:t>在规定运行时间内，搬运机器</w:t>
      </w:r>
      <w:r>
        <w:rPr>
          <w:spacing w:val="1"/>
        </w:rPr>
        <w:t>人移动到二维码板前读取二维码，获得搬运任务（三</w:t>
      </w:r>
      <w:r>
        <w:rPr/>
        <w:t>种颜色物料的搬运顺序和放置</w:t>
      </w:r>
      <w:r>
        <w:rPr>
          <w:spacing w:val="3"/>
        </w:rPr>
        <w:t>位置</w:t>
      </w:r>
      <w:r>
        <w:rPr>
          <w:spacing w:val="-40"/>
        </w:rPr>
        <w:t>），</w:t>
      </w:r>
      <w:r>
        <w:rPr>
          <w:spacing w:val="3"/>
        </w:rPr>
        <w:t>并将获得的任务码显示在显示装置上。然后，搬运机器人移动到原料区按</w:t>
      </w:r>
      <w:r>
        <w:rPr>
          <w:spacing w:val="-3"/>
        </w:rPr>
        <w:t>任务码规定的顺序依次将原料区的第一批物料搬运到搬运机器人上，每次抓取</w:t>
      </w:r>
      <w:r>
        <w:rPr>
          <w:spacing w:val="-16"/>
        </w:rPr>
        <w:t xml:space="preserve"> </w:t>
      </w:r>
      <w:r>
        <w:rPr>
          <w:spacing w:val="-3"/>
        </w:rPr>
        <w:t>1</w:t>
      </w:r>
      <w:r>
        <w:rPr>
          <w:spacing w:val="-51"/>
        </w:rPr>
        <w:t xml:space="preserve"> </w:t>
      </w:r>
      <w:r>
        <w:rPr>
          <w:spacing w:val="-3"/>
        </w:rPr>
        <w:t>个，</w:t>
      </w:r>
      <w:r>
        <w:rPr>
          <w:spacing w:val="1"/>
        </w:rPr>
        <w:t>将物料放置到搬运机器人上之后才能抓取下一个。然</w:t>
      </w:r>
      <w:r>
        <w:rPr/>
        <w:t>后，搬运机器人携带物料（1- </w:t>
      </w:r>
      <w:r>
        <w:rPr>
          <w:spacing w:val="2"/>
        </w:rPr>
        <w:t>3</w:t>
      </w:r>
      <w:r>
        <w:rPr>
          <w:spacing w:val="-49"/>
        </w:rPr>
        <w:t xml:space="preserve"> </w:t>
      </w:r>
      <w:r>
        <w:rPr>
          <w:spacing w:val="2"/>
        </w:rPr>
        <w:t>个）运至粗加工区，并按任务码规定的顺序放置到规定的区域内，将第一批共三</w:t>
      </w:r>
      <w:r>
        <w:rPr>
          <w:spacing w:val="1"/>
        </w:rPr>
        <w:t>个物料搬运至粗加工区后，按照任务码规定的顺序将</w:t>
      </w:r>
      <w:r>
        <w:rPr/>
        <w:t>已放置在粗加工区的物料搬运</w:t>
      </w:r>
      <w:r>
        <w:rPr>
          <w:spacing w:val="3"/>
        </w:rPr>
        <w:t>到搬运机器人上并运至暂存区（搬运要求同前</w:t>
      </w:r>
      <w:r>
        <w:rPr>
          <w:spacing w:val="-40"/>
        </w:rPr>
        <w:t>），</w:t>
      </w:r>
      <w:r>
        <w:rPr>
          <w:spacing w:val="3"/>
        </w:rPr>
        <w:t>按任务码规定的顺序将物料放置</w:t>
      </w:r>
    </w:p>
    <w:p>
      <w:pPr>
        <w:spacing w:line="359" w:lineRule="auto"/>
        <w:sectPr>
          <w:footerReference w:type="default" r:id="rId12"/>
          <w:pgSz w:w="11920" w:h="16840"/>
          <w:pgMar w:top="1431" w:right="1420" w:bottom="915" w:left="1675" w:header="0" w:footer="751" w:gutter="0"/>
        </w:sectPr>
        <w:rPr/>
      </w:pPr>
    </w:p>
    <w:p>
      <w:pPr>
        <w:pStyle w:val="BodyText"/>
        <w:ind w:right="2"/>
        <w:spacing w:before="106" w:line="359" w:lineRule="auto"/>
        <w:jc w:val="both"/>
        <w:rPr/>
      </w:pPr>
      <w:r>
        <w:rPr/>
        <w:t>在暂存区规定的区域内。将第一批三个物料放置暂存区后，返回原料区；按任务码</w:t>
      </w:r>
      <w:r>
        <w:rPr/>
        <w:t>规定的顺序依次将原料区第二批的三个物料搬运到搬运机器人上，按照第一批物料</w:t>
      </w:r>
      <w:r>
        <w:rPr/>
        <w:t>的搬运流程依次将物料搬运到粗加工区及暂存区。第二批三个物料在暂存区只能在</w:t>
      </w:r>
      <w:r>
        <w:rPr/>
        <w:t>原来已经放置的物料上进行码垛放置，颜色要一致且第一批物料放置正确，完成任</w:t>
      </w:r>
      <w:r>
        <w:rPr/>
        <w:t>务后搬运机器人回到抽签确定的启停区，同时查看显示装置上完成任务的统计信息</w:t>
      </w:r>
      <w:r>
        <w:rPr/>
        <w:t>是否正确（抓取正确次数和放置正确次数）。粗加工区和暂存区平面正确放置的度</w:t>
      </w:r>
      <w:r>
        <w:rPr/>
        <w:t>量标准均以各自每级圆环外界垂直方向是否看到该圆环外圈来评分，码垛放置以是</w:t>
      </w:r>
      <w:r>
        <w:rPr>
          <w:spacing w:val="-1"/>
        </w:rPr>
        <w:t>否平稳放置在已有的物料上来评分。</w:t>
      </w:r>
    </w:p>
    <w:p>
      <w:pPr>
        <w:pStyle w:val="BodyText"/>
        <w:ind w:right="2" w:firstLine="480"/>
        <w:spacing w:before="2" w:line="358" w:lineRule="auto"/>
        <w:jc w:val="both"/>
        <w:rPr/>
      </w:pPr>
      <w:r>
        <w:rPr>
          <w:b/>
          <w:bCs/>
          <w:spacing w:val="5"/>
        </w:rPr>
        <w:t>注意：在整个搬运过程中，不允许用手爪夹持物料运送，物料没有放置到搬</w:t>
      </w:r>
      <w:r>
        <w:rPr>
          <w:b/>
          <w:bCs/>
          <w:spacing w:val="5"/>
        </w:rPr>
        <w:t>运机器人上不能向下一个区域运行（本区域内不受</w:t>
      </w:r>
      <w:r>
        <w:rPr>
          <w:b/>
          <w:bCs/>
          <w:spacing w:val="4"/>
        </w:rPr>
        <w:t>限制）否则不计入成绩，但时</w:t>
      </w:r>
      <w:r>
        <w:rPr>
          <w:b/>
          <w:bCs/>
          <w:spacing w:val="-4"/>
        </w:rPr>
        <w:t>间连续计算。</w:t>
      </w:r>
    </w:p>
    <w:p>
      <w:pPr>
        <w:pStyle w:val="BodyText"/>
        <w:ind w:firstLine="480"/>
        <w:spacing w:before="1" w:line="359" w:lineRule="auto"/>
        <w:jc w:val="both"/>
        <w:rPr/>
      </w:pPr>
      <w:r>
        <w:rPr/>
        <w:t>在规定的运行时间内，根据读取二维码的正确性、物料抓取顺序和物料放置顺</w:t>
      </w:r>
      <w:r>
        <w:rPr/>
        <w:t>序的正确数量，粗加工区的平面放置准确程度、暂存区物料放置的准确程度及码垛</w:t>
      </w:r>
      <w:r>
        <w:rPr/>
        <w:t>是否成功，搬运信息统计的正确性以及是否按时回</w:t>
      </w:r>
      <w:r>
        <w:rPr>
          <w:spacing w:val="-1"/>
        </w:rPr>
        <w:t>到启停区等计算成绩。</w:t>
      </w:r>
    </w:p>
    <w:p>
      <w:pPr>
        <w:pStyle w:val="BodyText"/>
        <w:ind w:right="23"/>
        <w:spacing w:line="218" w:lineRule="auto"/>
        <w:jc w:val="right"/>
        <w:rPr/>
      </w:pPr>
      <w:r>
        <w:rPr/>
        <w:t>每个参赛队有两次运行机会，取两次现场运行的最好</w:t>
      </w:r>
      <w:r>
        <w:rPr>
          <w:spacing w:val="-1"/>
        </w:rPr>
        <w:t>成绩作为现场初赛成绩。</w:t>
      </w:r>
    </w:p>
    <w:p>
      <w:pPr>
        <w:pStyle w:val="BodyText"/>
        <w:ind w:left="2" w:firstLine="480"/>
        <w:spacing w:before="184" w:line="360" w:lineRule="auto"/>
        <w:rPr/>
      </w:pPr>
      <w:r>
        <w:rPr/>
        <w:t>按初赛总成绩对参加初赛的参赛队进行排名，若参赛队初赛总成绩相同，则按</w:t>
      </w:r>
      <w:r>
        <w:rPr/>
        <w:t>现场初赛成绩得分高者优先排序。如无法区分排序，按运行时间（</w:t>
      </w:r>
      <w:r>
        <w:rPr>
          <w:spacing w:val="-1"/>
        </w:rPr>
        <w:t>完成全部任务）</w:t>
      </w:r>
      <w:r>
        <w:rPr>
          <w:spacing w:val="-1"/>
        </w:rPr>
        <w:t>短优先排序。如仍旧无法区分排序，则抽签决定。</w:t>
      </w:r>
    </w:p>
    <w:p>
      <w:pPr>
        <w:pStyle w:val="BodyText"/>
        <w:ind w:left="8"/>
        <w:spacing w:before="61" w:line="220" w:lineRule="auto"/>
        <w:rPr>
          <w:sz w:val="28"/>
          <w:szCs w:val="28"/>
        </w:rPr>
      </w:pPr>
      <w:r>
        <w:rPr>
          <w:sz w:val="28"/>
          <w:szCs w:val="28"/>
          <w:b/>
          <w:bCs/>
          <w:spacing w:val="-6"/>
        </w:rPr>
        <w:t>2)决赛</w:t>
      </w:r>
    </w:p>
    <w:p>
      <w:pPr>
        <w:pStyle w:val="BodyText"/>
        <w:ind w:left="13"/>
        <w:spacing w:before="180" w:line="221" w:lineRule="auto"/>
        <w:rPr>
          <w:sz w:val="28"/>
          <w:szCs w:val="28"/>
        </w:rPr>
      </w:pPr>
      <w:r>
        <w:rPr>
          <w:sz w:val="28"/>
          <w:szCs w:val="28"/>
          <w:b/>
          <w:bCs/>
          <w:spacing w:val="-5"/>
        </w:rPr>
        <w:t>（1）创新实践</w:t>
      </w:r>
    </w:p>
    <w:p>
      <w:pPr>
        <w:pStyle w:val="BodyText"/>
        <w:ind w:left="1" w:right="2" w:firstLine="480"/>
        <w:spacing w:before="173" w:line="359" w:lineRule="auto"/>
        <w:rPr/>
      </w:pPr>
      <w:r>
        <w:rPr/>
        <w:t>依据领队会抽签确定的上场顺序，去掉未晋级决赛队伍后，形成新的决赛上场</w:t>
      </w:r>
      <w:r>
        <w:rPr>
          <w:spacing w:val="-1"/>
        </w:rPr>
        <w:t>顺序（具体规则现场发布）并进行检录，按决赛上场顺序就坐。</w:t>
      </w:r>
    </w:p>
    <w:p>
      <w:pPr>
        <w:pStyle w:val="BodyText"/>
        <w:ind w:left="3" w:right="2" w:firstLine="476"/>
        <w:spacing w:line="359" w:lineRule="auto"/>
        <w:jc w:val="both"/>
        <w:rPr/>
      </w:pPr>
      <w:r>
        <w:rPr/>
        <w:t>在规定时间内，按照决赛现场发布的决赛任务命题，参赛队采用现场提供的装</w:t>
      </w:r>
      <w:r>
        <w:rPr/>
        <w:t>备、材料及软件平台等完成现场规定的任务。按照预约顺序或现场决赛上场轮次进</w:t>
      </w:r>
      <w:r>
        <w:rPr/>
        <w:t>行调试，调试结束按照要求检验作品、交作品并离场。对参赛队的技术能力、工程</w:t>
      </w:r>
      <w:r>
        <w:rPr>
          <w:spacing w:val="-1"/>
        </w:rPr>
        <w:t>知识、诚信意识、协作意识等方面进行评价，给出该环节最终成绩。</w:t>
      </w:r>
    </w:p>
    <w:p>
      <w:pPr>
        <w:pStyle w:val="BodyText"/>
        <w:ind w:right="2" w:firstLine="488"/>
        <w:spacing w:before="3" w:line="359" w:lineRule="auto"/>
        <w:jc w:val="both"/>
        <w:rPr/>
      </w:pPr>
      <w:r>
        <w:rPr/>
        <w:t>决赛不仅要体现参赛队的创新设计能力，也要体现参赛队的工程实践能力，因</w:t>
      </w:r>
      <w:r>
        <w:rPr>
          <w:spacing w:val="-1"/>
        </w:rPr>
        <w:t>此依据创新实践环节所要求完成的任务，决赛总成绩分为</w:t>
      </w:r>
      <w:r>
        <w:rPr>
          <w:spacing w:val="-53"/>
        </w:rPr>
        <w:t xml:space="preserve"> </w:t>
      </w:r>
      <w:r>
        <w:rPr>
          <w:b/>
          <w:bCs/>
          <w:spacing w:val="-1"/>
        </w:rPr>
        <w:t>A、B、C</w:t>
      </w:r>
      <w:r>
        <w:rPr>
          <w:spacing w:val="-49"/>
        </w:rPr>
        <w:t xml:space="preserve"> </w:t>
      </w:r>
      <w:r>
        <w:rPr>
          <w:b/>
          <w:bCs/>
          <w:spacing w:val="-1"/>
        </w:rPr>
        <w:t>三等级的先后排</w:t>
      </w:r>
      <w:r>
        <w:rPr>
          <w:b/>
          <w:bCs/>
          <w:spacing w:val="2"/>
        </w:rPr>
        <w:t>序，即</w:t>
      </w:r>
      <w:r>
        <w:rPr>
          <w:spacing w:val="-51"/>
        </w:rPr>
        <w:t xml:space="preserve"> </w:t>
      </w:r>
      <w:r>
        <w:rPr>
          <w:b/>
          <w:bCs/>
          <w:spacing w:val="2"/>
        </w:rPr>
        <w:t>A</w:t>
      </w:r>
      <w:r>
        <w:rPr>
          <w:spacing w:val="-42"/>
        </w:rPr>
        <w:t xml:space="preserve"> </w:t>
      </w:r>
      <w:r>
        <w:rPr>
          <w:b/>
          <w:bCs/>
          <w:spacing w:val="2"/>
        </w:rPr>
        <w:t>等级＞B</w:t>
      </w:r>
      <w:r>
        <w:rPr>
          <w:spacing w:val="-41"/>
        </w:rPr>
        <w:t xml:space="preserve"> </w:t>
      </w:r>
      <w:r>
        <w:rPr>
          <w:b/>
          <w:bCs/>
          <w:spacing w:val="2"/>
        </w:rPr>
        <w:t>等级＞C</w:t>
      </w:r>
      <w:r>
        <w:rPr>
          <w:spacing w:val="-42"/>
        </w:rPr>
        <w:t xml:space="preserve"> </w:t>
      </w:r>
      <w:r>
        <w:rPr>
          <w:b/>
          <w:bCs/>
          <w:spacing w:val="2"/>
        </w:rPr>
        <w:t>等级</w:t>
      </w:r>
      <w:r>
        <w:rPr>
          <w:spacing w:val="2"/>
        </w:rPr>
        <w:t>：①</w:t>
      </w:r>
      <w:r>
        <w:rPr>
          <w:b/>
          <w:bCs/>
          <w:spacing w:val="2"/>
        </w:rPr>
        <w:t>A</w:t>
      </w:r>
      <w:r>
        <w:rPr>
          <w:spacing w:val="-44"/>
        </w:rPr>
        <w:t xml:space="preserve"> </w:t>
      </w:r>
      <w:r>
        <w:rPr>
          <w:b/>
          <w:bCs/>
          <w:spacing w:val="2"/>
        </w:rPr>
        <w:t>等级</w:t>
      </w:r>
      <w:r>
        <w:rPr>
          <w:spacing w:val="2"/>
        </w:rPr>
        <w:t>：按命题要求用现场提供</w:t>
      </w:r>
      <w:r>
        <w:rPr>
          <w:spacing w:val="1"/>
        </w:rPr>
        <w:t>的设备、材料</w:t>
      </w:r>
    </w:p>
    <w:p>
      <w:pPr>
        <w:spacing w:line="359" w:lineRule="auto"/>
        <w:sectPr>
          <w:footerReference w:type="default" r:id="rId13"/>
          <w:pgSz w:w="11920" w:h="16840"/>
          <w:pgMar w:top="1431" w:right="1578" w:bottom="917" w:left="1686" w:header="0" w:footer="751" w:gutter="0"/>
        </w:sectPr>
        <w:rPr/>
      </w:pPr>
    </w:p>
    <w:p>
      <w:pPr>
        <w:pStyle w:val="BodyText"/>
        <w:spacing w:before="103" w:line="359" w:lineRule="auto"/>
        <w:jc w:val="both"/>
        <w:rPr/>
      </w:pPr>
      <w:r>
        <w:rPr>
          <w:spacing w:val="1"/>
        </w:rPr>
        <w:t>及软件平台等完成现场规定的任务并在后续任务中应用；②</w:t>
      </w:r>
      <w:r>
        <w:rPr>
          <w:b/>
          <w:bCs/>
          <w:spacing w:val="1"/>
        </w:rPr>
        <w:t>B</w:t>
      </w:r>
      <w:r>
        <w:rPr>
          <w:spacing w:val="-32"/>
        </w:rPr>
        <w:t xml:space="preserve"> </w:t>
      </w:r>
      <w:r>
        <w:rPr>
          <w:b/>
          <w:bCs/>
          <w:spacing w:val="1"/>
        </w:rPr>
        <w:t>等级</w:t>
      </w:r>
      <w:r>
        <w:rPr>
          <w:spacing w:val="1"/>
        </w:rPr>
        <w:t>：虽然按命题要</w:t>
      </w:r>
      <w:r>
        <w:rPr/>
        <w:t>求用现场提供的设备、材料及软件平台等完成现场规定的任务，但未在后续任务中</w:t>
      </w:r>
      <w:r>
        <w:rPr>
          <w:spacing w:val="1"/>
        </w:rPr>
        <w:t>应用；③</w:t>
      </w:r>
      <w:r>
        <w:rPr>
          <w:b/>
          <w:bCs/>
          <w:spacing w:val="1"/>
        </w:rPr>
        <w:t>C</w:t>
      </w:r>
      <w:r>
        <w:rPr>
          <w:spacing w:val="-35"/>
        </w:rPr>
        <w:t xml:space="preserve"> </w:t>
      </w:r>
      <w:r>
        <w:rPr>
          <w:b/>
          <w:bCs/>
          <w:spacing w:val="1"/>
        </w:rPr>
        <w:t>等级：</w:t>
      </w:r>
      <w:r>
        <w:rPr>
          <w:spacing w:val="1"/>
        </w:rPr>
        <w:t>没用现场提供的设备、材料及软件平台等完成现场规定的任务，</w:t>
      </w:r>
      <w:r>
        <w:rPr>
          <w:spacing w:val="-2"/>
        </w:rPr>
        <w:t>取消后续决赛资格。</w:t>
      </w:r>
    </w:p>
    <w:p>
      <w:pPr>
        <w:pStyle w:val="BodyText"/>
        <w:ind w:right="19" w:firstLine="520"/>
        <w:spacing w:before="1" w:line="360" w:lineRule="auto"/>
        <w:rPr/>
      </w:pPr>
      <w:r>
        <w:rPr>
          <w:spacing w:val="-2"/>
        </w:rPr>
        <w:t>自带拆装工具、调试工具、相关设计软件、手提电脑等，以及</w:t>
      </w:r>
      <w:r>
        <w:rPr>
          <w:b/>
          <w:bCs/>
          <w:spacing w:val="-2"/>
        </w:rPr>
        <w:t>舵机、传感器、</w:t>
      </w:r>
      <w:r>
        <w:rPr>
          <w:b/>
          <w:bCs/>
        </w:rPr>
        <w:t>标准件</w:t>
      </w:r>
      <w:r>
        <w:rPr/>
        <w:t>等相关备件，有安全隐患的物品和不允许</w:t>
      </w:r>
      <w:r>
        <w:rPr>
          <w:spacing w:val="-1"/>
        </w:rPr>
        <w:t>带的物品不能带入创新实践环节现</w:t>
      </w:r>
      <w:r>
        <w:rPr>
          <w:spacing w:val="-1"/>
        </w:rPr>
        <w:t>场，否则取消比赛资格。</w:t>
      </w:r>
    </w:p>
    <w:p>
      <w:pPr>
        <w:spacing w:line="382" w:lineRule="auto"/>
        <w:rPr>
          <w:rFonts w:ascii="Arial"/>
          <w:sz w:val="21"/>
        </w:rPr>
      </w:pPr>
      <w:r/>
    </w:p>
    <w:p>
      <w:pPr>
        <w:pStyle w:val="BodyText"/>
        <w:ind w:left="483"/>
        <w:spacing w:before="78" w:line="219" w:lineRule="auto"/>
        <w:rPr/>
      </w:pPr>
      <w:r>
        <w:rPr>
          <w:spacing w:val="-1"/>
        </w:rPr>
        <w:t>相关具体要求，参见后期发布的创新实践环节说明。</w:t>
      </w:r>
    </w:p>
    <w:p>
      <w:pPr>
        <w:pStyle w:val="BodyText"/>
        <w:ind w:left="13"/>
        <w:spacing w:before="247" w:line="220" w:lineRule="auto"/>
        <w:rPr>
          <w:sz w:val="28"/>
          <w:szCs w:val="28"/>
        </w:rPr>
      </w:pPr>
      <w:r>
        <w:rPr>
          <w:sz w:val="28"/>
          <w:szCs w:val="28"/>
          <w:b/>
          <w:bCs/>
          <w:spacing w:val="-5"/>
        </w:rPr>
        <w:t>（2）现场决赛</w:t>
      </w:r>
    </w:p>
    <w:p>
      <w:pPr>
        <w:pStyle w:val="BodyText"/>
        <w:ind w:left="1" w:firstLine="480"/>
        <w:spacing w:before="175" w:line="359" w:lineRule="auto"/>
        <w:rPr/>
      </w:pPr>
      <w:r>
        <w:rPr/>
        <w:t>按照决赛上场顺序和现场使用的场地数进行检录，并抽签确定各参赛队现场决</w:t>
      </w:r>
      <w:r>
        <w:rPr>
          <w:spacing w:val="-2"/>
        </w:rPr>
        <w:t>赛的场地号。</w:t>
      </w:r>
    </w:p>
    <w:p>
      <w:pPr>
        <w:pStyle w:val="BodyText"/>
        <w:ind w:firstLine="481"/>
        <w:spacing w:line="362" w:lineRule="auto"/>
        <w:rPr/>
      </w:pPr>
      <w:r>
        <w:rPr/>
        <w:t>现场决赛流程参照现场初赛流程，各参赛队按照现场发布的决赛任务完成物料</w:t>
      </w:r>
      <w:r>
        <w:rPr>
          <w:spacing w:val="-2"/>
        </w:rPr>
        <w:t>搬运任务。</w:t>
      </w:r>
    </w:p>
    <w:p>
      <w:pPr>
        <w:spacing w:line="379" w:lineRule="auto"/>
        <w:rPr>
          <w:rFonts w:ascii="Arial"/>
          <w:sz w:val="21"/>
        </w:rPr>
      </w:pPr>
      <w:r/>
    </w:p>
    <w:p>
      <w:pPr>
        <w:pStyle w:val="BodyText"/>
        <w:ind w:right="21"/>
        <w:spacing w:before="78" w:line="219" w:lineRule="auto"/>
        <w:jc w:val="right"/>
        <w:rPr/>
      </w:pPr>
      <w:r>
        <w:rPr/>
        <w:t>每个参赛队有两次运行机会，取两次现场运行的最好</w:t>
      </w:r>
      <w:r>
        <w:rPr>
          <w:spacing w:val="-1"/>
        </w:rPr>
        <w:t>成绩作为现场决赛成绩。</w:t>
      </w:r>
    </w:p>
    <w:p>
      <w:pPr>
        <w:pStyle w:val="BodyText"/>
        <w:ind w:left="5" w:firstLine="477"/>
        <w:spacing w:before="182" w:line="359" w:lineRule="auto"/>
        <w:rPr/>
      </w:pPr>
      <w:r>
        <w:rPr/>
        <w:t>按现场决赛成绩对参加决赛的参赛队进行排名，若参赛队现场决赛成绩相同，</w:t>
      </w:r>
      <w:r>
        <w:rPr/>
        <w:t>则按现场运行成绩排序，分高者排序在前。如无法区分排序，按运行时间短优先排</w:t>
      </w:r>
    </w:p>
    <w:p>
      <w:pPr>
        <w:pStyle w:val="BodyText"/>
        <w:spacing w:line="219" w:lineRule="auto"/>
        <w:outlineLvl w:val="0"/>
        <w:rPr/>
      </w:pPr>
      <w:r>
        <w:rPr>
          <w:spacing w:val="-1"/>
        </w:rPr>
        <w:t>序。如仍旧无法区分排序，则抽签决定。</w:t>
      </w:r>
    </w:p>
    <w:sectPr>
      <w:footerReference w:type="default" r:id="rId14"/>
      <w:pgSz w:w="11920" w:h="16840"/>
      <w:pgMar w:top="1431" w:right="1580" w:bottom="917" w:left="1686" w:header="0" w:footer="751"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70"/>
      <w:spacing w:line="168" w:lineRule="auto"/>
      <w:rPr>
        <w:rFonts w:ascii="Calibri" w:hAnsi="Calibri" w:eastAsia="Calibri" w:cs="Calibri"/>
        <w:sz w:val="18"/>
        <w:szCs w:val="18"/>
      </w:rPr>
    </w:pPr>
    <w:r>
      <w:rPr>
        <w:rFonts w:ascii="Calibri" w:hAnsi="Calibri" w:eastAsia="Calibri" w:cs="Calibri"/>
        <w:sz w:val="18"/>
        <w:szCs w:val="18"/>
      </w:rPr>
      <w:t>1</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65"/>
      <w:spacing w:line="169" w:lineRule="auto"/>
      <w:rPr>
        <w:rFonts w:ascii="Calibri" w:hAnsi="Calibri" w:eastAsia="Calibri" w:cs="Calibri"/>
        <w:sz w:val="18"/>
        <w:szCs w:val="18"/>
      </w:rPr>
    </w:pPr>
    <w:r>
      <w:rPr>
        <w:rFonts w:ascii="Calibri" w:hAnsi="Calibri" w:eastAsia="Calibri" w:cs="Calibri"/>
        <w:sz w:val="18"/>
        <w:szCs w:val="18"/>
      </w:rPr>
      <w:t>2</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60"/>
      <w:spacing w:line="169" w:lineRule="auto"/>
      <w:rPr>
        <w:rFonts w:ascii="Calibri" w:hAnsi="Calibri" w:eastAsia="Calibri" w:cs="Calibri"/>
        <w:sz w:val="18"/>
        <w:szCs w:val="18"/>
      </w:rPr>
    </w:pPr>
    <w:r>
      <w:rPr>
        <w:rFonts w:ascii="Calibri" w:hAnsi="Calibri" w:eastAsia="Calibri" w:cs="Calibri"/>
        <w:sz w:val="18"/>
        <w:szCs w:val="18"/>
      </w:rPr>
      <w:t>3</w: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56"/>
      <w:spacing w:line="168" w:lineRule="auto"/>
      <w:rPr>
        <w:rFonts w:ascii="Calibri" w:hAnsi="Calibri" w:eastAsia="Calibri" w:cs="Calibri"/>
        <w:sz w:val="18"/>
        <w:szCs w:val="18"/>
      </w:rPr>
    </w:pPr>
    <w:r>
      <w:rPr>
        <w:rFonts w:ascii="Calibri" w:hAnsi="Calibri" w:eastAsia="Calibri" w:cs="Calibri"/>
        <w:sz w:val="18"/>
        <w:szCs w:val="18"/>
      </w:rPr>
      <w:t>4</w: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61"/>
      <w:spacing w:line="167" w:lineRule="auto"/>
      <w:rPr>
        <w:rFonts w:ascii="Calibri" w:hAnsi="Calibri" w:eastAsia="Calibri" w:cs="Calibri"/>
        <w:sz w:val="18"/>
        <w:szCs w:val="18"/>
      </w:rPr>
    </w:pPr>
    <w:r>
      <w:rPr>
        <w:rFonts w:ascii="Calibri" w:hAnsi="Calibri" w:eastAsia="Calibri" w:cs="Calibri"/>
        <w:sz w:val="18"/>
        <w:szCs w:val="18"/>
      </w:rPr>
      <w:t>5</w: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66"/>
      <w:spacing w:line="169" w:lineRule="auto"/>
      <w:rPr>
        <w:rFonts w:ascii="Calibri" w:hAnsi="Calibri" w:eastAsia="Calibri" w:cs="Calibri"/>
        <w:sz w:val="18"/>
        <w:szCs w:val="18"/>
      </w:rPr>
    </w:pPr>
    <w:r>
      <w:rPr>
        <w:rFonts w:ascii="Calibri" w:hAnsi="Calibri" w:eastAsia="Calibri" w:cs="Calibri"/>
        <w:sz w:val="18"/>
        <w:szCs w:val="18"/>
      </w:rPr>
      <w:t>6</w:t>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74"/>
      <w:spacing w:line="167" w:lineRule="auto"/>
      <w:rPr>
        <w:rFonts w:ascii="Calibri" w:hAnsi="Calibri" w:eastAsia="Calibri" w:cs="Calibri"/>
        <w:sz w:val="18"/>
        <w:szCs w:val="18"/>
      </w:rPr>
    </w:pPr>
    <w:r>
      <w:rPr>
        <w:rFonts w:ascii="Calibri" w:hAnsi="Calibri" w:eastAsia="Calibri" w:cs="Calibri"/>
        <w:sz w:val="18"/>
        <w:szCs w:val="18"/>
      </w:rPr>
      <w:t>7</w:t>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61"/>
      <w:spacing w:line="169" w:lineRule="auto"/>
      <w:rPr>
        <w:rFonts w:ascii="Calibri" w:hAnsi="Calibri" w:eastAsia="Calibri" w:cs="Calibri"/>
        <w:sz w:val="18"/>
        <w:szCs w:val="18"/>
      </w:rPr>
    </w:pPr>
    <w:r>
      <w:rPr>
        <w:rFonts w:ascii="Calibri" w:hAnsi="Calibri" w:eastAsia="Calibri" w:cs="Calibri"/>
        <w:sz w:val="18"/>
        <w:szCs w:val="18"/>
      </w:rPr>
      <w:t>8</w:t>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61"/>
      <w:spacing w:line="169" w:lineRule="auto"/>
      <w:rPr>
        <w:rFonts w:ascii="Calibri" w:hAnsi="Calibri" w:eastAsia="Calibri" w:cs="Calibri"/>
        <w:sz w:val="18"/>
        <w:szCs w:val="18"/>
      </w:rPr>
    </w:pPr>
    <w:r>
      <w:rPr>
        <w:rFonts w:ascii="Calibri" w:hAnsi="Calibri" w:eastAsia="Calibri" w:cs="Calibri"/>
        <w:sz w:val="18"/>
        <w:szCs w:val="18"/>
      </w:rPr>
      <w:t>9</w:t>
    </w:r>
  </w:p>
</w:ft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SimSun" w:hAnsi="SimSun" w:eastAsia="SimSun" w:cs="SimSun"/>
      <w:sz w:val="24"/>
      <w:szCs w:val="24"/>
      <w:lang w:val="en-US" w:eastAsia="en-US" w:bidi="ar-SA"/>
    </w:rPr>
  </w:style>
  <w:style w:type="paragraph" w:styleId="TableText">
    <w:name w:val="Table Text"/>
    <w:basedOn w:val="Normal"/>
    <w:semiHidden/>
    <w:qFormat/>
    <w:pPr/>
    <w:rPr>
      <w:rFonts w:ascii="SimSun" w:hAnsi="SimSun" w:eastAsia="SimSun" w:cs="SimSun"/>
      <w:sz w:val="20"/>
      <w:szCs w:val="20"/>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footer" Target="footer5.xml"/><Relationship Id="rId6" Type="http://schemas.openxmlformats.org/officeDocument/2006/relationships/image" Target="media/image2.jpeg"/><Relationship Id="rId5" Type="http://schemas.openxmlformats.org/officeDocument/2006/relationships/footer" Target="footer4.xml"/><Relationship Id="rId4" Type="http://schemas.openxmlformats.org/officeDocument/2006/relationships/image" Target="media/image1.jpeg"/><Relationship Id="rId3" Type="http://schemas.openxmlformats.org/officeDocument/2006/relationships/footer" Target="footer3.xml"/><Relationship Id="rId2" Type="http://schemas.openxmlformats.org/officeDocument/2006/relationships/footer" Target="footer2.xml"/><Relationship Id="rId17" Type="http://schemas.openxmlformats.org/officeDocument/2006/relationships/fontTable" Target="fontTable.xml"/><Relationship Id="rId16" Type="http://schemas.openxmlformats.org/officeDocument/2006/relationships/styles" Target="styles.xml"/><Relationship Id="rId15" Type="http://schemas.openxmlformats.org/officeDocument/2006/relationships/settings" Target="settings.xml"/><Relationship Id="rId14" Type="http://schemas.openxmlformats.org/officeDocument/2006/relationships/footer" Target="footer9.xml"/><Relationship Id="rId13" Type="http://schemas.openxmlformats.org/officeDocument/2006/relationships/footer" Target="footer8.xml"/><Relationship Id="rId12" Type="http://schemas.openxmlformats.org/officeDocument/2006/relationships/footer" Target="footer7.xml"/><Relationship Id="rId11" Type="http://schemas.openxmlformats.org/officeDocument/2006/relationships/image" Target="media/image5.jpeg"/><Relationship Id="rId10" Type="http://schemas.openxmlformats.org/officeDocument/2006/relationships/footer" Target="footer6.xml"/><Relationship Id="rId1" Type="http://schemas.openxmlformats.org/officeDocument/2006/relationships/footer" Target="footer1.xml"/></Relationships>
</file>

<file path=docProps/app.xml><?xml version="1.0" encoding="utf-8"?>
<ap:Properties xmlns:vt="http://schemas.openxmlformats.org/officeDocument/2006/docPropsVTypes" xmlns:ap="http://schemas.openxmlformats.org/officeDocument/2006/extended-properties">
  <ap:Application>WPS 文字</ap:Applicat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DUPO</dc:creator>
  <dcterms:created xsi:type="dcterms:W3CDTF">2026-08-30T01:14:51Z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wqlLaW5nc29mdCBQREYgdG8gV1BTIDEyMA</vt:lpwstr>
  </property>
  <property fmtid="{D5CDD505-2E9C-101B-9397-08002B2CF9AE}" pid="3" name="Created">
    <vt:filetime>2026-08-30T01:15:01</vt:filetime>
  </property>
</Properties>
</file>