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C2" w:rsidRDefault="00A047C2" w:rsidP="00A047C2">
      <w:pPr>
        <w:spacing w:after="160" w:line="259" w:lineRule="auto"/>
        <w:ind w:left="0" w:firstLine="0"/>
        <w:rPr>
          <w:sz w:val="44"/>
        </w:rPr>
      </w:pPr>
      <w:bookmarkStart w:id="0" w:name="_GoBack"/>
      <w:bookmarkEnd w:id="0"/>
    </w:p>
    <w:p w:rsidR="00A047C2" w:rsidRDefault="00A047C2" w:rsidP="00A047C2">
      <w:pPr>
        <w:spacing w:after="160" w:line="259" w:lineRule="auto"/>
        <w:ind w:left="0" w:firstLine="0"/>
        <w:rPr>
          <w:sz w:val="44"/>
        </w:rPr>
      </w:pPr>
    </w:p>
    <w:p w:rsidR="00A047C2" w:rsidRDefault="00A047C2" w:rsidP="00A047C2">
      <w:pPr>
        <w:spacing w:after="160" w:line="259" w:lineRule="auto"/>
        <w:ind w:left="0" w:firstLine="0"/>
        <w:rPr>
          <w:sz w:val="44"/>
        </w:rPr>
      </w:pPr>
    </w:p>
    <w:p w:rsidR="00A047C2" w:rsidRDefault="00A047C2" w:rsidP="00A047C2">
      <w:pPr>
        <w:spacing w:after="160" w:line="259" w:lineRule="auto"/>
        <w:ind w:left="0" w:firstLine="0"/>
        <w:rPr>
          <w:sz w:val="44"/>
        </w:rPr>
      </w:pPr>
      <w:r>
        <w:rPr>
          <w:rFonts w:hint="eastAsia"/>
          <w:sz w:val="44"/>
        </w:rPr>
        <w:t>呈：</w:t>
      </w:r>
      <w:r>
        <w:rPr>
          <w:sz w:val="44"/>
        </w:rPr>
        <w:t>帮瀛法务机构</w:t>
      </w:r>
    </w:p>
    <w:p w:rsidR="00A047C2" w:rsidRPr="00E8306F" w:rsidRDefault="00A047C2" w:rsidP="00A047C2">
      <w:pPr>
        <w:spacing w:after="160" w:line="259" w:lineRule="auto"/>
        <w:ind w:left="0" w:firstLine="0"/>
        <w:rPr>
          <w:sz w:val="44"/>
        </w:rPr>
      </w:pPr>
    </w:p>
    <w:p w:rsidR="00A047C2" w:rsidRDefault="00A047C2" w:rsidP="00A047C2">
      <w:pPr>
        <w:spacing w:after="160" w:line="259" w:lineRule="auto"/>
        <w:ind w:left="0" w:firstLine="0"/>
        <w:rPr>
          <w:sz w:val="44"/>
        </w:rPr>
      </w:pPr>
      <w:r w:rsidRPr="00A047C2">
        <w:rPr>
          <w:noProof/>
          <w:sz w:val="52"/>
          <w:szCs w:val="52"/>
        </w:rPr>
        <mc:AlternateContent>
          <mc:Choice Requires="wps">
            <w:drawing>
              <wp:anchor distT="0" distB="0" distL="114300" distR="114300" simplePos="0" relativeHeight="251659264" behindDoc="1" locked="0" layoutInCell="1" allowOverlap="1" wp14:anchorId="1727120E" wp14:editId="50EC5570">
                <wp:simplePos x="0" y="0"/>
                <wp:positionH relativeFrom="margin">
                  <wp:posOffset>-9525</wp:posOffset>
                </wp:positionH>
                <wp:positionV relativeFrom="paragraph">
                  <wp:posOffset>703580</wp:posOffset>
                </wp:positionV>
                <wp:extent cx="3543300" cy="2733675"/>
                <wp:effectExtent l="0" t="0" r="0" b="0"/>
                <wp:wrapTight wrapText="bothSides">
                  <wp:wrapPolygon edited="0">
                    <wp:start x="0" y="0"/>
                    <wp:lineTo x="0" y="21600"/>
                    <wp:lineTo x="21600" y="21600"/>
                    <wp:lineTo x="21600" y="0"/>
                  </wp:wrapPolygon>
                </wp:wrapTight>
                <wp:docPr id="65" name="Rectangle 65"/>
                <wp:cNvGraphicFramePr/>
                <a:graphic xmlns:a="http://schemas.openxmlformats.org/drawingml/2006/main">
                  <a:graphicData uri="http://schemas.microsoft.com/office/word/2010/wordprocessingShape">
                    <wps:wsp>
                      <wps:cNvSpPr/>
                      <wps:spPr>
                        <a:xfrm>
                          <a:off x="0" y="0"/>
                          <a:ext cx="3543300" cy="2733675"/>
                        </a:xfrm>
                        <a:prstGeom prst="rect">
                          <a:avLst/>
                        </a:prstGeom>
                        <a:ln>
                          <a:noFill/>
                        </a:ln>
                      </wps:spPr>
                      <wps:txbx>
                        <w:txbxContent>
                          <w:p w:rsidR="00A047C2" w:rsidRDefault="00A047C2" w:rsidP="00A047C2">
                            <w:pPr>
                              <w:spacing w:after="160" w:line="259" w:lineRule="auto"/>
                              <w:ind w:left="0" w:firstLine="0"/>
                              <w:rPr>
                                <w:sz w:val="52"/>
                                <w:szCs w:val="52"/>
                              </w:rPr>
                            </w:pPr>
                            <w:r w:rsidRPr="00A047C2">
                              <w:rPr>
                                <w:rFonts w:hint="eastAsia"/>
                                <w:sz w:val="52"/>
                                <w:szCs w:val="52"/>
                              </w:rPr>
                              <w:t>商事</w:t>
                            </w:r>
                            <w:r w:rsidRPr="00A047C2">
                              <w:rPr>
                                <w:sz w:val="52"/>
                                <w:szCs w:val="52"/>
                              </w:rPr>
                              <w:t>争议解决团队</w:t>
                            </w:r>
                          </w:p>
                          <w:p w:rsidR="00A047C2" w:rsidRDefault="00A047C2" w:rsidP="00A047C2">
                            <w:pPr>
                              <w:spacing w:after="160" w:line="259" w:lineRule="auto"/>
                              <w:ind w:left="0" w:firstLine="0"/>
                              <w:rPr>
                                <w:sz w:val="52"/>
                              </w:rPr>
                            </w:pPr>
                            <w:r>
                              <w:rPr>
                                <w:sz w:val="52"/>
                              </w:rPr>
                              <w:t>呈报文件</w:t>
                            </w:r>
                          </w:p>
                          <w:p w:rsidR="00A047C2" w:rsidRDefault="00A047C2" w:rsidP="00A047C2">
                            <w:pPr>
                              <w:spacing w:after="160" w:line="259" w:lineRule="auto"/>
                              <w:ind w:left="0" w:firstLine="0"/>
                            </w:pPr>
                            <w:r>
                              <w:rPr>
                                <w:rFonts w:hint="eastAsia"/>
                                <w:sz w:val="52"/>
                              </w:rPr>
                              <w:t>2016年5月</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727120E" id="Rectangle 65" o:spid="_x0000_s1026" style="position:absolute;margin-left:-.75pt;margin-top:55.4pt;width:279pt;height:21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" filled="f" stroked="f">
                <v:textbox inset="0,0,0,0">
                  <w:txbxContent>
                    <w:p w:rsidR="00A047C2" w:rsidRDefault="00A047C2" w:rsidP="00A047C2">
                      <w:pPr>
                        <w:spacing w:after="160" w:line="259" w:lineRule="auto"/>
                        <w:ind w:left="0" w:firstLine="0"/>
                        <w:rPr>
                          <w:sz w:val="52"/>
                          <w:szCs w:val="52"/>
                        </w:rPr>
                      </w:pPr>
                      <w:r w:rsidRPr="00A047C2">
                        <w:rPr>
                          <w:rFonts w:hint="eastAsia"/>
                          <w:sz w:val="52"/>
                          <w:szCs w:val="52"/>
                        </w:rPr>
                        <w:t>商事</w:t>
                      </w:r>
                      <w:r w:rsidRPr="00A047C2">
                        <w:rPr>
                          <w:sz w:val="52"/>
                          <w:szCs w:val="52"/>
                        </w:rPr>
                        <w:t>争议解决团队</w:t>
                      </w:r>
                    </w:p>
                    <w:p w:rsidR="00A047C2" w:rsidRDefault="00A047C2" w:rsidP="00A047C2">
                      <w:pPr>
                        <w:spacing w:after="160" w:line="259" w:lineRule="auto"/>
                        <w:ind w:left="0" w:firstLine="0"/>
                        <w:rPr>
                          <w:sz w:val="52"/>
                        </w:rPr>
                      </w:pPr>
                      <w:r>
                        <w:rPr>
                          <w:sz w:val="52"/>
                        </w:rPr>
                        <w:t>呈报文件</w:t>
                      </w:r>
                    </w:p>
                    <w:p w:rsidR="00A047C2" w:rsidRDefault="00A047C2" w:rsidP="00A047C2">
                      <w:pPr>
                        <w:spacing w:after="160" w:line="259" w:lineRule="auto"/>
                        <w:ind w:left="0" w:firstLine="0"/>
                        <w:rPr>
                          <w:rFonts w:hint="eastAsia"/>
                        </w:rPr>
                      </w:pPr>
                      <w:r>
                        <w:rPr>
                          <w:rFonts w:hint="eastAsia"/>
                          <w:sz w:val="52"/>
                        </w:rPr>
                        <w:t>2016年5月</w:t>
                      </w:r>
                    </w:p>
                  </w:txbxContent>
                </v:textbox>
                <w10:wrap type="tight" anchorx="margin"/>
              </v:rect>
            </w:pict>
          </mc:Fallback>
        </mc:AlternateContent>
      </w:r>
    </w:p>
    <w:p w:rsidR="00051779" w:rsidRDefault="00051779"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spacing w:after="160" w:line="259" w:lineRule="auto"/>
        <w:ind w:left="0" w:firstLine="0"/>
      </w:pPr>
    </w:p>
    <w:p w:rsidR="00A047C2" w:rsidRDefault="00A047C2" w:rsidP="00A047C2">
      <w:pPr>
        <w:pStyle w:val="1"/>
        <w:spacing w:after="17"/>
        <w:ind w:left="-5"/>
      </w:pPr>
      <w:r>
        <w:rPr>
          <w:color w:val="1F497D"/>
        </w:rPr>
        <w:lastRenderedPageBreak/>
        <w:t xml:space="preserve">工作联系函 </w:t>
      </w:r>
    </w:p>
    <w:p w:rsidR="00A047C2" w:rsidRDefault="00A047C2" w:rsidP="00A047C2">
      <w:pPr>
        <w:spacing w:after="0" w:line="259" w:lineRule="auto"/>
        <w:ind w:left="0" w:firstLine="0"/>
      </w:pPr>
      <w:r>
        <w:rPr>
          <w:color w:val="3B476B"/>
          <w:sz w:val="44"/>
        </w:rPr>
        <w:t xml:space="preserve"> </w:t>
      </w:r>
    </w:p>
    <w:p w:rsidR="00A047C2" w:rsidRDefault="00A047C2" w:rsidP="00A047C2">
      <w:pPr>
        <w:spacing w:after="152" w:line="259" w:lineRule="auto"/>
        <w:ind w:firstLine="0"/>
      </w:pPr>
      <w:r>
        <w:t xml:space="preserve"> </w:t>
      </w:r>
    </w:p>
    <w:p w:rsidR="00A047C2" w:rsidRDefault="00A047C2" w:rsidP="00A047C2">
      <w:pPr>
        <w:spacing w:after="27" w:line="259" w:lineRule="auto"/>
        <w:ind w:left="0" w:firstLine="0"/>
      </w:pPr>
      <w:r>
        <w:rPr>
          <w:rFonts w:ascii="Arial Unicode MS" w:eastAsia="Arial Unicode MS" w:hAnsi="Arial Unicode MS" w:cs="Arial Unicode MS"/>
        </w:rPr>
        <w:t xml:space="preserve"> </w:t>
      </w:r>
      <w:r>
        <w:t xml:space="preserve">敬启者： </w:t>
      </w:r>
    </w:p>
    <w:p w:rsidR="00A047C2" w:rsidRDefault="00A047C2" w:rsidP="00A047C2">
      <w:pPr>
        <w:spacing w:after="87" w:line="259" w:lineRule="auto"/>
        <w:ind w:left="0" w:firstLineChars="200" w:firstLine="480"/>
      </w:pPr>
      <w:r w:rsidRPr="00A047C2">
        <w:rPr>
          <w:rFonts w:hint="eastAsia"/>
        </w:rPr>
        <w:t>我们非常高兴受邀向贵机构引荐本所商事争议解决律师团队。我们十分珍视此次机会，希望藉此加强合作，并将致力于为同行及客户提供优质高效的法律服务。</w:t>
      </w:r>
    </w:p>
    <w:p w:rsidR="00A047C2" w:rsidRDefault="00A047C2" w:rsidP="00A047C2">
      <w:pPr>
        <w:spacing w:after="89" w:line="259" w:lineRule="auto"/>
        <w:ind w:firstLine="0"/>
      </w:pPr>
      <w:r>
        <w:t xml:space="preserve"> </w:t>
      </w: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r>
        <w:rPr>
          <w:rFonts w:ascii="Calibri" w:eastAsia="Calibri" w:hAnsi="Calibri" w:cs="Calibri"/>
          <w:sz w:val="22"/>
        </w:rPr>
        <w:tab/>
      </w: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Theme="minorEastAsia" w:hAnsi="Calibri" w:cs="Calibri"/>
          <w:sz w:val="22"/>
        </w:rPr>
      </w:pPr>
    </w:p>
    <w:p w:rsidR="00A047C2" w:rsidRPr="00A047C2" w:rsidRDefault="00A047C2" w:rsidP="00A047C2">
      <w:pPr>
        <w:tabs>
          <w:tab w:val="center" w:pos="8767"/>
          <w:tab w:val="right" w:pos="9136"/>
        </w:tabs>
        <w:spacing w:after="214" w:line="259" w:lineRule="auto"/>
        <w:ind w:left="0" w:firstLine="0"/>
        <w:rPr>
          <w:rFonts w:ascii="Calibri" w:eastAsiaTheme="minorEastAsia"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Default="00A047C2" w:rsidP="00A047C2">
      <w:pPr>
        <w:tabs>
          <w:tab w:val="center" w:pos="8767"/>
          <w:tab w:val="right" w:pos="9136"/>
        </w:tabs>
        <w:spacing w:after="214" w:line="259" w:lineRule="auto"/>
        <w:ind w:left="0" w:firstLine="0"/>
        <w:rPr>
          <w:rFonts w:ascii="Calibri" w:eastAsia="Calibri" w:hAnsi="Calibri" w:cs="Calibri"/>
          <w:sz w:val="22"/>
        </w:rPr>
      </w:pPr>
    </w:p>
    <w:p w:rsidR="00A047C2" w:rsidRPr="00A047C2" w:rsidRDefault="00A047C2" w:rsidP="00A047C2">
      <w:pPr>
        <w:tabs>
          <w:tab w:val="center" w:pos="8767"/>
          <w:tab w:val="right" w:pos="9136"/>
        </w:tabs>
        <w:spacing w:after="214" w:line="259" w:lineRule="auto"/>
        <w:ind w:left="0" w:firstLine="0"/>
        <w:rPr>
          <w:sz w:val="44"/>
          <w:szCs w:val="44"/>
        </w:rPr>
      </w:pPr>
      <w:r w:rsidRPr="00A047C2">
        <w:rPr>
          <w:color w:val="1F497D"/>
          <w:sz w:val="44"/>
          <w:szCs w:val="44"/>
        </w:rPr>
        <w:lastRenderedPageBreak/>
        <w:t xml:space="preserve">保密承诺 </w:t>
      </w:r>
    </w:p>
    <w:p w:rsidR="00A047C2" w:rsidRDefault="00A047C2" w:rsidP="00A047C2">
      <w:pPr>
        <w:spacing w:after="0" w:line="259" w:lineRule="auto"/>
        <w:ind w:left="0" w:firstLine="0"/>
      </w:pPr>
    </w:p>
    <w:p w:rsidR="00A047C2" w:rsidRDefault="00A047C2" w:rsidP="00A047C2">
      <w:pPr>
        <w:spacing w:after="154" w:line="259" w:lineRule="auto"/>
        <w:ind w:firstLine="0"/>
      </w:pPr>
      <w:r>
        <w:t xml:space="preserve"> </w:t>
      </w:r>
    </w:p>
    <w:p w:rsidR="00A047C2" w:rsidRDefault="00A047C2" w:rsidP="00A047C2">
      <w:pPr>
        <w:spacing w:after="48" w:line="259" w:lineRule="auto"/>
        <w:ind w:left="0" w:firstLine="0"/>
      </w:pPr>
      <w:r>
        <w:t xml:space="preserve">敬启者： </w:t>
      </w:r>
    </w:p>
    <w:p w:rsidR="00A047C2" w:rsidRDefault="00A047C2" w:rsidP="00A047C2">
      <w:pPr>
        <w:spacing w:after="48" w:line="259" w:lineRule="auto"/>
        <w:ind w:left="0" w:firstLineChars="200" w:firstLine="480"/>
      </w:pPr>
      <w:r>
        <w:rPr>
          <w:rFonts w:hint="eastAsia"/>
        </w:rPr>
        <w:t>在为贵机构及客户提供法律服务的过程中，我们可能会获知相关保密信息，我们特作如下承诺：</w:t>
      </w:r>
      <w:r>
        <w:t xml:space="preserve"> </w:t>
      </w:r>
    </w:p>
    <w:p w:rsidR="00A047C2" w:rsidRDefault="00A047C2" w:rsidP="00A047C2">
      <w:pPr>
        <w:spacing w:after="48" w:line="259" w:lineRule="auto"/>
        <w:ind w:left="0" w:firstLineChars="200" w:firstLine="480"/>
      </w:pPr>
      <w:r>
        <w:t xml:space="preserve">1、采取一切合理保密措施，妥善保管保密信息，禁止任何与保密信息无关之人员接触或取得保密信息； </w:t>
      </w:r>
    </w:p>
    <w:p w:rsidR="00A047C2" w:rsidRDefault="00A047C2" w:rsidP="00A047C2">
      <w:pPr>
        <w:spacing w:after="48" w:line="259" w:lineRule="auto"/>
        <w:ind w:left="0" w:firstLineChars="200" w:firstLine="480"/>
      </w:pPr>
      <w:r>
        <w:t xml:space="preserve">2、所接触的保密信息将仅为达成纠纷解决或提供法律服务而使用，不将保密信息用于其他任何场合及交易，也不以任何其他方式滥用保密信息； </w:t>
      </w:r>
    </w:p>
    <w:p w:rsidR="00A047C2" w:rsidRDefault="00A047C2" w:rsidP="00A047C2">
      <w:pPr>
        <w:spacing w:after="48" w:line="259" w:lineRule="auto"/>
        <w:ind w:left="0" w:firstLineChars="200" w:firstLine="480"/>
      </w:pPr>
      <w:r>
        <w:t>3、进行详尽的利益冲突检索，确保我们安排的有关人士在诉讼中或法律服务中不存在利益冲突。</w:t>
      </w:r>
    </w:p>
    <w:p w:rsidR="00A047C2" w:rsidRDefault="00A047C2" w:rsidP="00A047C2">
      <w:pPr>
        <w:spacing w:after="93" w:line="259" w:lineRule="auto"/>
        <w:ind w:left="1591" w:firstLine="0"/>
      </w:pPr>
      <w:r>
        <w:rPr>
          <w:rFonts w:ascii="Times New Roman" w:eastAsia="Times New Roman" w:hAnsi="Times New Roman" w:cs="Times New Roman"/>
          <w:sz w:val="22"/>
        </w:rPr>
        <w:t xml:space="preserve"> </w:t>
      </w:r>
    </w:p>
    <w:p w:rsidR="00A047C2" w:rsidRDefault="00A047C2" w:rsidP="00A047C2"/>
    <w:p w:rsidR="00A047C2" w:rsidRDefault="00A047C2" w:rsidP="00A047C2"/>
    <w:p w:rsidR="00A047C2" w:rsidRDefault="00A047C2" w:rsidP="00A047C2"/>
    <w:p w:rsidR="00A047C2" w:rsidRDefault="00A047C2" w:rsidP="00A047C2"/>
    <w:p w:rsidR="00A047C2" w:rsidRDefault="00A047C2" w:rsidP="00A047C2"/>
    <w:p w:rsidR="00A047C2" w:rsidRPr="00A047C2" w:rsidRDefault="00A047C2" w:rsidP="00A047C2">
      <w:pPr>
        <w:tabs>
          <w:tab w:val="center" w:pos="8767"/>
          <w:tab w:val="right" w:pos="9136"/>
        </w:tabs>
        <w:spacing w:after="214" w:line="259" w:lineRule="auto"/>
        <w:ind w:left="0" w:firstLine="0"/>
        <w:rPr>
          <w:color w:val="1F497D"/>
          <w:sz w:val="44"/>
          <w:szCs w:val="44"/>
        </w:rPr>
      </w:pPr>
      <w:r w:rsidRPr="00A047C2">
        <w:rPr>
          <w:color w:val="1F497D"/>
          <w:sz w:val="44"/>
          <w:szCs w:val="44"/>
        </w:rPr>
        <w:lastRenderedPageBreak/>
        <w:t xml:space="preserve">郑国裕申请执行案初步意见 </w:t>
      </w:r>
    </w:p>
    <w:p w:rsidR="00A047C2" w:rsidRDefault="00A047C2" w:rsidP="006A4442">
      <w:pPr>
        <w:spacing w:after="48"/>
        <w:ind w:left="0" w:firstLine="0"/>
      </w:pPr>
      <w:r>
        <w:rPr>
          <w:rFonts w:hint="eastAsia"/>
        </w:rPr>
        <w:t>一、</w:t>
      </w:r>
      <w:r>
        <w:t xml:space="preserve">根据帮瀛提供的现有文件，我们目前掌握案件以下基础及相关信息: </w:t>
      </w:r>
    </w:p>
    <w:p w:rsidR="00A047C2" w:rsidRDefault="00A047C2" w:rsidP="006A4442">
      <w:pPr>
        <w:spacing w:after="48"/>
        <w:ind w:left="0" w:firstLineChars="200" w:firstLine="480"/>
      </w:pPr>
      <w:r>
        <w:t>1</w:t>
      </w:r>
      <w:r>
        <w:rPr>
          <w:rFonts w:hint="eastAsia"/>
        </w:rPr>
        <w:t>、</w:t>
      </w:r>
      <w:r>
        <w:t xml:space="preserve">2014年6月13日，郑国裕依据（2013）通民初字第11883号、（2014）三中民终字第05051号判决，向北京市通州区人民法院申请执行。 </w:t>
      </w:r>
    </w:p>
    <w:p w:rsidR="00A047C2" w:rsidRDefault="00A047C2" w:rsidP="006A4442">
      <w:pPr>
        <w:spacing w:after="48"/>
        <w:ind w:left="0" w:firstLineChars="200" w:firstLine="480"/>
      </w:pPr>
      <w:r>
        <w:rPr>
          <w:rFonts w:hint="eastAsia"/>
        </w:rPr>
        <w:t>案号：</w:t>
      </w:r>
      <w:r>
        <w:t xml:space="preserve">2014通执字第03289号 </w:t>
      </w:r>
    </w:p>
    <w:p w:rsidR="00A047C2" w:rsidRDefault="00A047C2" w:rsidP="006A4442">
      <w:pPr>
        <w:spacing w:after="48"/>
        <w:ind w:left="0" w:firstLineChars="200" w:firstLine="480"/>
      </w:pPr>
      <w:r>
        <w:rPr>
          <w:rFonts w:hint="eastAsia"/>
        </w:rPr>
        <w:t>承办法官：执行一庭</w:t>
      </w:r>
      <w:r>
        <w:t xml:space="preserve"> 杨光（现已调离执行一庭）执行标的：28 106 147元 </w:t>
      </w:r>
    </w:p>
    <w:p w:rsidR="00A047C2" w:rsidRDefault="00A047C2" w:rsidP="006A4442">
      <w:pPr>
        <w:spacing w:after="48"/>
        <w:ind w:left="0" w:firstLineChars="200" w:firstLine="480"/>
      </w:pPr>
      <w:r>
        <w:t>2.</w:t>
      </w:r>
      <w:r>
        <w:tab/>
        <w:t xml:space="preserve">本案执行程序重新启动，需通过向通州法院执行三庭登记恢复执行程序。执行三庭主要受理的案件类型包括非诉执行案件、执行异议案件、公证债权文书执行案件及恢复执行案件等。 </w:t>
      </w:r>
    </w:p>
    <w:p w:rsidR="00A047C2" w:rsidRDefault="00A047C2" w:rsidP="006A4442">
      <w:pPr>
        <w:spacing w:after="48"/>
        <w:ind w:left="0" w:firstLineChars="200" w:firstLine="480"/>
      </w:pPr>
      <w:r>
        <w:rPr>
          <w:rFonts w:hint="eastAsia"/>
        </w:rPr>
        <w:t>同时，不排除将本案安排至执行一庭恢复执行之可能性。</w:t>
      </w:r>
      <w:r>
        <w:t xml:space="preserve"> </w:t>
      </w:r>
    </w:p>
    <w:p w:rsidR="00A047C2" w:rsidRDefault="00A047C2" w:rsidP="006A4442">
      <w:pPr>
        <w:spacing w:after="48"/>
        <w:ind w:left="0" w:firstLineChars="200" w:firstLine="480"/>
      </w:pPr>
      <w:r>
        <w:t>3.</w:t>
      </w:r>
      <w:r>
        <w:tab/>
        <w:t xml:space="preserve">据简要统计，在北京市三级法院系统内，阮昌文、李颖、商安普国际光电科技（北京）有限公司、中商汇融资担保有限公司、商安普国际贸易（天津）有限公司、商安普置业投资（北京）有限公司六被执行人名下，累计存在至少10件被执行案件，标的累计达1.1亿元。 </w:t>
      </w:r>
    </w:p>
    <w:p w:rsidR="00A047C2" w:rsidRDefault="00A047C2" w:rsidP="006A4442">
      <w:pPr>
        <w:spacing w:after="48"/>
        <w:ind w:left="0" w:firstLineChars="200" w:firstLine="480"/>
      </w:pPr>
      <w:r>
        <w:rPr>
          <w:rFonts w:hint="eastAsia"/>
        </w:rPr>
        <w:t>以上数据系经简单检索统计得出，不排除因网络系统信息滞后等因素，导致上述数据与实际情况存在偏差。</w:t>
      </w:r>
      <w:r>
        <w:t xml:space="preserve"> </w:t>
      </w:r>
    </w:p>
    <w:p w:rsidR="00A047C2" w:rsidRDefault="00A047C2" w:rsidP="006A4442">
      <w:pPr>
        <w:spacing w:after="48"/>
        <w:ind w:left="0" w:firstLine="0"/>
      </w:pPr>
      <w:r>
        <w:rPr>
          <w:rFonts w:hint="eastAsia"/>
        </w:rPr>
        <w:t>二、</w:t>
      </w:r>
      <w:r>
        <w:tab/>
        <w:t xml:space="preserve">关于可能涉及的轮候查封问题 </w:t>
      </w:r>
    </w:p>
    <w:p w:rsidR="00A047C2" w:rsidRDefault="00A047C2" w:rsidP="006A4442">
      <w:pPr>
        <w:spacing w:after="48"/>
        <w:ind w:left="0" w:firstLineChars="200" w:firstLine="480"/>
      </w:pPr>
      <w:r>
        <w:rPr>
          <w:rFonts w:hint="eastAsia"/>
        </w:rPr>
        <w:t>商安普国际光电科技（北京）有限公司名下的土地、房屋上登记有为其他银行设定的抵押权在先，但目前尚不掌握上述房、地是否已被其他法院首先查封。如是，则本案将处于轮候查封地位。</w:t>
      </w:r>
      <w:r>
        <w:t xml:space="preserve"> </w:t>
      </w:r>
    </w:p>
    <w:p w:rsidR="00A047C2" w:rsidRDefault="00A047C2" w:rsidP="006A4442">
      <w:pPr>
        <w:spacing w:after="48"/>
        <w:ind w:left="0" w:firstLineChars="200" w:firstLine="480"/>
      </w:pPr>
      <w:r>
        <w:rPr>
          <w:rFonts w:hint="eastAsia"/>
        </w:rPr>
        <w:lastRenderedPageBreak/>
        <w:t>同时，因商安普国际光电科技（北京）有限公司未为郑国裕在上述房、地之上设定担保物权，故根据现有材料，本案债权仅属于普通债权，暂无法适用</w:t>
      </w:r>
      <w:r>
        <w:t xml:space="preserve">2016年4月12 日《最高人民法院关于首先查封法院与优先债权执行法院处分查封财产有关问题的批复》，而向首封法院申请移送执行。 </w:t>
      </w:r>
    </w:p>
    <w:p w:rsidR="00A047C2" w:rsidRDefault="00A047C2" w:rsidP="006A4442">
      <w:pPr>
        <w:spacing w:after="48"/>
        <w:ind w:left="0" w:firstLineChars="200" w:firstLine="480"/>
      </w:pPr>
      <w:r>
        <w:rPr>
          <w:rFonts w:hint="eastAsia"/>
        </w:rPr>
        <w:t>综上，考虑到本案被执行人众多，申请执行人对目标财产可能处于轮候查封地位，财产变现涉及评估拍卖程序，以及送达、异议等程序存在不可控因素等情况，同时考虑到本案执行方式亦存在直接安排资产重组的可能性，我们预计，本案理想的执行期限在</w:t>
      </w:r>
    </w:p>
    <w:p w:rsidR="00A047C2" w:rsidRDefault="00A047C2" w:rsidP="006A4442">
      <w:pPr>
        <w:spacing w:after="48"/>
        <w:ind w:left="0" w:firstLineChars="200" w:firstLine="480"/>
      </w:pPr>
      <w:r>
        <w:t xml:space="preserve">3个月-6个月期间。 </w:t>
      </w:r>
    </w:p>
    <w:p w:rsidR="00A047C2" w:rsidRDefault="00A047C2" w:rsidP="006A4442">
      <w:pPr>
        <w:spacing w:after="48"/>
        <w:ind w:left="0" w:firstLineChars="200" w:firstLine="480"/>
      </w:pPr>
      <w:r>
        <w:rPr>
          <w:rFonts w:hint="eastAsia"/>
        </w:rPr>
        <w:t>以上意见，敬请参考。</w:t>
      </w:r>
      <w:r>
        <w:t xml:space="preserve">  </w:t>
      </w:r>
    </w:p>
    <w:p w:rsidR="00A047C2" w:rsidRDefault="00A047C2" w:rsidP="00A047C2">
      <w:pPr>
        <w:spacing w:after="350"/>
        <w:ind w:left="0" w:firstLineChars="200" w:firstLine="480"/>
      </w:pPr>
    </w:p>
    <w:p w:rsidR="00A047C2" w:rsidRDefault="00A047C2" w:rsidP="00A047C2">
      <w:pPr>
        <w:spacing w:after="350"/>
        <w:ind w:left="0" w:firstLineChars="200" w:firstLine="480"/>
      </w:pPr>
    </w:p>
    <w:p w:rsidR="006A4442" w:rsidRDefault="006A4442" w:rsidP="00A047C2">
      <w:pPr>
        <w:spacing w:after="350"/>
        <w:ind w:left="0" w:firstLineChars="200" w:firstLine="480"/>
      </w:pPr>
    </w:p>
    <w:p w:rsidR="006A4442" w:rsidRDefault="006A4442" w:rsidP="00A047C2">
      <w:pPr>
        <w:spacing w:after="350"/>
        <w:ind w:left="0" w:firstLineChars="200" w:firstLine="480"/>
      </w:pPr>
    </w:p>
    <w:p w:rsidR="006A4442" w:rsidRDefault="006A4442" w:rsidP="00A047C2">
      <w:pPr>
        <w:spacing w:after="350"/>
        <w:ind w:left="0" w:firstLineChars="200" w:firstLine="480"/>
      </w:pPr>
    </w:p>
    <w:p w:rsidR="006A4442" w:rsidRDefault="006A4442" w:rsidP="00A047C2">
      <w:pPr>
        <w:spacing w:after="350"/>
        <w:ind w:left="0" w:firstLineChars="200" w:firstLine="480"/>
      </w:pPr>
    </w:p>
    <w:p w:rsidR="00A047C2" w:rsidRDefault="00A047C2" w:rsidP="00A047C2">
      <w:pPr>
        <w:pStyle w:val="2"/>
        <w:ind w:left="-5"/>
        <w:rPr>
          <w:rFonts w:ascii="微软雅黑" w:eastAsia="微软雅黑" w:hAnsi="微软雅黑" w:cs="微软雅黑"/>
          <w:b w:val="0"/>
          <w:bCs w:val="0"/>
          <w:color w:val="1F497D"/>
          <w:sz w:val="44"/>
          <w:szCs w:val="44"/>
        </w:rPr>
      </w:pPr>
      <w:r w:rsidRPr="00A047C2">
        <w:rPr>
          <w:rFonts w:ascii="微软雅黑" w:eastAsia="微软雅黑" w:hAnsi="微软雅黑" w:cs="微软雅黑"/>
          <w:b w:val="0"/>
          <w:bCs w:val="0"/>
          <w:color w:val="1F497D"/>
          <w:sz w:val="44"/>
          <w:szCs w:val="44"/>
        </w:rPr>
        <w:lastRenderedPageBreak/>
        <w:t xml:space="preserve">工作流程 </w:t>
      </w:r>
    </w:p>
    <w:p w:rsidR="00A047C2" w:rsidRDefault="00A047C2" w:rsidP="00A047C2">
      <w:pPr>
        <w:ind w:left="0" w:firstLine="0"/>
      </w:pPr>
      <w:r>
        <w:t xml:space="preserve">    如有幸与贵机构合作，协助客户及贵机构实现法律服务目标，我们承诺在以下方面提供优质、高效、专业的法律服务： </w:t>
      </w:r>
    </w:p>
    <w:p w:rsidR="00A047C2" w:rsidRDefault="00A047C2" w:rsidP="00A047C2">
      <w:pPr>
        <w:ind w:left="0" w:firstLineChars="200" w:firstLine="480"/>
      </w:pPr>
      <w:r>
        <w:t xml:space="preserve">1、组成专案团队，由资深顾问负责把控案件质量和进度，由合伙人律师亲自带领团队成员分析讨论案件、制定策略，以最优化的团队成员组合，为客户及贵机构提供法律服务。 </w:t>
      </w:r>
    </w:p>
    <w:p w:rsidR="00A047C2" w:rsidRDefault="00A047C2" w:rsidP="00A047C2">
      <w:pPr>
        <w:ind w:left="0" w:firstLineChars="200" w:firstLine="480"/>
      </w:pPr>
      <w:r>
        <w:t xml:space="preserve">2、签署正式法律服务协议后，就事实和法律问题深入讨论，直至明确案件策略及思路，完成相关法律文件的起草。 </w:t>
      </w:r>
    </w:p>
    <w:p w:rsidR="00A047C2" w:rsidRPr="00A047C2" w:rsidRDefault="00A047C2" w:rsidP="00A047C2">
      <w:pPr>
        <w:ind w:left="0" w:firstLineChars="200" w:firstLine="480"/>
      </w:pPr>
      <w:r>
        <w:t>3、保持与执行人员、相关机构的顺畅沟通，为客户及贵机构争取最大化的执行利益。</w:t>
      </w:r>
    </w:p>
    <w:p w:rsidR="00A047C2" w:rsidRDefault="00A047C2" w:rsidP="00A047C2">
      <w:pPr>
        <w:spacing w:after="48" w:line="259" w:lineRule="auto"/>
        <w:ind w:left="0" w:firstLine="0"/>
      </w:pPr>
      <w:r>
        <w:rPr>
          <w:color w:val="1F497D"/>
          <w:sz w:val="44"/>
        </w:rPr>
        <w:t xml:space="preserve"> </w:t>
      </w:r>
    </w:p>
    <w:p w:rsidR="00A047C2" w:rsidRDefault="00A047C2" w:rsidP="00A047C2">
      <w:pPr>
        <w:spacing w:after="19" w:line="259" w:lineRule="auto"/>
        <w:ind w:left="0" w:firstLine="0"/>
      </w:pPr>
    </w:p>
    <w:p w:rsidR="00A047C2" w:rsidRDefault="00A047C2" w:rsidP="00A047C2">
      <w:pPr>
        <w:spacing w:after="0" w:line="259" w:lineRule="auto"/>
        <w:ind w:left="0" w:firstLine="0"/>
        <w:rPr>
          <w:color w:val="1F497D"/>
          <w:sz w:val="44"/>
        </w:rPr>
      </w:pPr>
      <w:r>
        <w:rPr>
          <w:color w:val="1F497D"/>
          <w:sz w:val="44"/>
        </w:rPr>
        <w:t xml:space="preserve"> </w:t>
      </w:r>
    </w:p>
    <w:p w:rsidR="00A047C2" w:rsidRDefault="00A047C2" w:rsidP="00A047C2">
      <w:pPr>
        <w:spacing w:after="0" w:line="259" w:lineRule="auto"/>
        <w:ind w:left="0" w:firstLine="0"/>
        <w:rPr>
          <w:color w:val="1F497D"/>
          <w:sz w:val="44"/>
        </w:rPr>
      </w:pPr>
    </w:p>
    <w:p w:rsidR="00A047C2" w:rsidRDefault="00A047C2" w:rsidP="00A047C2">
      <w:pPr>
        <w:spacing w:after="0" w:line="259" w:lineRule="auto"/>
        <w:ind w:left="0" w:firstLine="0"/>
        <w:rPr>
          <w:color w:val="1F497D"/>
          <w:sz w:val="44"/>
        </w:rPr>
      </w:pPr>
    </w:p>
    <w:p w:rsidR="00A047C2" w:rsidRDefault="00A047C2" w:rsidP="00A047C2">
      <w:pPr>
        <w:spacing w:after="0" w:line="259" w:lineRule="auto"/>
        <w:ind w:left="0" w:firstLine="0"/>
      </w:pPr>
    </w:p>
    <w:p w:rsidR="00A047C2" w:rsidRPr="00A047C2" w:rsidRDefault="00A047C2" w:rsidP="00A047C2">
      <w:pPr>
        <w:pStyle w:val="2"/>
        <w:ind w:left="-5"/>
        <w:rPr>
          <w:rFonts w:ascii="微软雅黑" w:eastAsia="微软雅黑" w:hAnsi="微软雅黑" w:cs="微软雅黑"/>
          <w:b w:val="0"/>
          <w:bCs w:val="0"/>
          <w:color w:val="1F497D"/>
          <w:sz w:val="44"/>
          <w:szCs w:val="44"/>
        </w:rPr>
      </w:pPr>
      <w:r w:rsidRPr="00A047C2">
        <w:rPr>
          <w:rFonts w:ascii="微软雅黑" w:eastAsia="微软雅黑" w:hAnsi="微软雅黑" w:cs="微软雅黑"/>
          <w:b w:val="0"/>
          <w:bCs w:val="0"/>
          <w:color w:val="1F497D"/>
          <w:sz w:val="44"/>
          <w:szCs w:val="44"/>
        </w:rPr>
        <w:lastRenderedPageBreak/>
        <w:t xml:space="preserve">结语 </w:t>
      </w:r>
    </w:p>
    <w:p w:rsidR="00A047C2" w:rsidRDefault="00A047C2" w:rsidP="00A047C2">
      <w:pPr>
        <w:spacing w:after="89" w:line="259" w:lineRule="auto"/>
        <w:ind w:firstLine="0"/>
      </w:pPr>
      <w:r>
        <w:t xml:space="preserve"> </w:t>
      </w:r>
    </w:p>
    <w:p w:rsidR="00A047C2" w:rsidRDefault="00A047C2" w:rsidP="00A047C2">
      <w:pPr>
        <w:spacing w:after="404" w:line="259" w:lineRule="auto"/>
        <w:ind w:left="0" w:firstLine="0"/>
      </w:pPr>
      <w:r>
        <w:t xml:space="preserve">敬启者： </w:t>
      </w:r>
    </w:p>
    <w:p w:rsidR="00A047C2" w:rsidRDefault="00A047C2" w:rsidP="00A047C2">
      <w:pPr>
        <w:spacing w:after="404" w:line="259" w:lineRule="auto"/>
        <w:ind w:left="0" w:firstLineChars="200" w:firstLine="480"/>
      </w:pPr>
      <w:r>
        <w:rPr>
          <w:rFonts w:hint="eastAsia"/>
        </w:rPr>
        <w:t>如贵机构对本呈报文件存在任何疑问，或者我们能够为贵机构提供任何其他帮助，请随时联系我们。</w:t>
      </w:r>
      <w:r>
        <w:t xml:space="preserve"> </w:t>
      </w:r>
    </w:p>
    <w:p w:rsidR="00A047C2" w:rsidRDefault="00A047C2" w:rsidP="00A047C2">
      <w:pPr>
        <w:spacing w:after="404" w:line="259" w:lineRule="auto"/>
        <w:ind w:left="0" w:firstLineChars="200" w:firstLine="480"/>
      </w:pPr>
      <w:r>
        <w:rPr>
          <w:rFonts w:hint="eastAsia"/>
        </w:rPr>
        <w:t>我们衷心期待与贵机构合作，为客户及贵机构提供专业高效的法律服务！</w:t>
      </w:r>
      <w:r>
        <w:t xml:space="preserve"> </w:t>
      </w:r>
    </w:p>
    <w:p w:rsidR="00A047C2" w:rsidRDefault="00A047C2" w:rsidP="00A047C2">
      <w:pPr>
        <w:spacing w:after="404" w:line="259" w:lineRule="auto"/>
        <w:ind w:left="0" w:firstLineChars="200" w:firstLine="480"/>
      </w:pPr>
      <w:r>
        <w:rPr>
          <w:rFonts w:hint="eastAsia"/>
        </w:rPr>
        <w:t>顺颂业祺！</w:t>
      </w:r>
      <w:r>
        <w:t xml:space="preserve"> </w:t>
      </w:r>
    </w:p>
    <w:p w:rsidR="00A047C2" w:rsidRDefault="00A047C2" w:rsidP="00A047C2">
      <w:pPr>
        <w:spacing w:after="404" w:line="259" w:lineRule="auto"/>
        <w:ind w:left="0" w:firstLine="0"/>
      </w:pPr>
    </w:p>
    <w:p w:rsidR="00A047C2" w:rsidRDefault="00A047C2" w:rsidP="00A047C2">
      <w:pPr>
        <w:spacing w:after="86" w:line="259" w:lineRule="auto"/>
        <w:ind w:firstLine="0"/>
      </w:pPr>
      <w:r>
        <w:rPr>
          <w:color w:val="3B476B"/>
          <w:sz w:val="44"/>
        </w:rPr>
        <w:t xml:space="preserve"> </w:t>
      </w:r>
    </w:p>
    <w:p w:rsidR="00A047C2" w:rsidRPr="00A047C2" w:rsidRDefault="00A047C2" w:rsidP="00A047C2">
      <w:pPr>
        <w:spacing w:after="160" w:line="259" w:lineRule="auto"/>
        <w:ind w:left="0" w:firstLine="0"/>
      </w:pPr>
    </w:p>
    <w:sectPr w:rsidR="00A047C2" w:rsidRPr="00A04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36" w:rsidRDefault="004B6136" w:rsidP="00A047C2">
      <w:pPr>
        <w:spacing w:after="0" w:line="240" w:lineRule="auto"/>
      </w:pPr>
      <w:r>
        <w:separator/>
      </w:r>
    </w:p>
  </w:endnote>
  <w:endnote w:type="continuationSeparator" w:id="0">
    <w:p w:rsidR="004B6136" w:rsidRDefault="004B6136" w:rsidP="00A0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36" w:rsidRDefault="004B6136" w:rsidP="00A047C2">
      <w:pPr>
        <w:spacing w:after="0" w:line="240" w:lineRule="auto"/>
      </w:pPr>
      <w:r>
        <w:separator/>
      </w:r>
    </w:p>
  </w:footnote>
  <w:footnote w:type="continuationSeparator" w:id="0">
    <w:p w:rsidR="004B6136" w:rsidRDefault="004B6136" w:rsidP="00A04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63E7E"/>
    <w:multiLevelType w:val="hybridMultilevel"/>
    <w:tmpl w:val="55121D58"/>
    <w:lvl w:ilvl="0" w:tplc="297C054C">
      <w:start w:val="1"/>
      <w:numFmt w:val="decimal"/>
      <w:lvlText w:val="%1、"/>
      <w:lvlJc w:val="left"/>
      <w:pPr>
        <w:ind w:left="11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EE8955E">
      <w:start w:val="1"/>
      <w:numFmt w:val="lowerLetter"/>
      <w:lvlText w:val="%2"/>
      <w:lvlJc w:val="left"/>
      <w:pPr>
        <w:ind w:left="27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D829962">
      <w:start w:val="1"/>
      <w:numFmt w:val="lowerRoman"/>
      <w:lvlText w:val="%3"/>
      <w:lvlJc w:val="left"/>
      <w:pPr>
        <w:ind w:left="34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79840EE">
      <w:start w:val="1"/>
      <w:numFmt w:val="decimal"/>
      <w:lvlText w:val="%4"/>
      <w:lvlJc w:val="left"/>
      <w:pPr>
        <w:ind w:left="415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F9A2994">
      <w:start w:val="1"/>
      <w:numFmt w:val="lowerLetter"/>
      <w:lvlText w:val="%5"/>
      <w:lvlJc w:val="left"/>
      <w:pPr>
        <w:ind w:left="487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A224654">
      <w:start w:val="1"/>
      <w:numFmt w:val="lowerRoman"/>
      <w:lvlText w:val="%6"/>
      <w:lvlJc w:val="left"/>
      <w:pPr>
        <w:ind w:left="559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E54D9B8">
      <w:start w:val="1"/>
      <w:numFmt w:val="decimal"/>
      <w:lvlText w:val="%7"/>
      <w:lvlJc w:val="left"/>
      <w:pPr>
        <w:ind w:left="63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5AECDEA">
      <w:start w:val="1"/>
      <w:numFmt w:val="lowerLetter"/>
      <w:lvlText w:val="%8"/>
      <w:lvlJc w:val="left"/>
      <w:pPr>
        <w:ind w:left="70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476D218">
      <w:start w:val="1"/>
      <w:numFmt w:val="lowerRoman"/>
      <w:lvlText w:val="%9"/>
      <w:lvlJc w:val="left"/>
      <w:pPr>
        <w:ind w:left="775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041838"/>
    <w:multiLevelType w:val="hybridMultilevel"/>
    <w:tmpl w:val="9C1ED046"/>
    <w:lvl w:ilvl="0" w:tplc="ADC4BAC4">
      <w:start w:val="1"/>
      <w:numFmt w:val="ideographDigital"/>
      <w:lvlText w:val="%1、"/>
      <w:lvlJc w:val="left"/>
      <w:pPr>
        <w:ind w:left="8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88063CA">
      <w:start w:val="1"/>
      <w:numFmt w:val="decimal"/>
      <w:lvlText w:val="%2."/>
      <w:lvlJc w:val="left"/>
      <w:pPr>
        <w:ind w:left="9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0E6E2DA">
      <w:start w:val="1"/>
      <w:numFmt w:val="lowerRoman"/>
      <w:lvlText w:val="%3"/>
      <w:lvlJc w:val="left"/>
      <w:pPr>
        <w:ind w:left="15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13871AE">
      <w:start w:val="1"/>
      <w:numFmt w:val="decimal"/>
      <w:lvlText w:val="%4"/>
      <w:lvlJc w:val="left"/>
      <w:pPr>
        <w:ind w:left="22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E266FD2">
      <w:start w:val="1"/>
      <w:numFmt w:val="lowerLetter"/>
      <w:lvlText w:val="%5"/>
      <w:lvlJc w:val="left"/>
      <w:pPr>
        <w:ind w:left="30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0646AB0">
      <w:start w:val="1"/>
      <w:numFmt w:val="lowerRoman"/>
      <w:lvlText w:val="%6"/>
      <w:lvlJc w:val="left"/>
      <w:pPr>
        <w:ind w:left="37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6C2B84A">
      <w:start w:val="1"/>
      <w:numFmt w:val="decimal"/>
      <w:lvlText w:val="%7"/>
      <w:lvlJc w:val="left"/>
      <w:pPr>
        <w:ind w:left="44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AF2ED66">
      <w:start w:val="1"/>
      <w:numFmt w:val="lowerLetter"/>
      <w:lvlText w:val="%8"/>
      <w:lvlJc w:val="left"/>
      <w:pPr>
        <w:ind w:left="51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9F8C1DC">
      <w:start w:val="1"/>
      <w:numFmt w:val="lowerRoman"/>
      <w:lvlText w:val="%9"/>
      <w:lvlJc w:val="left"/>
      <w:pPr>
        <w:ind w:left="58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4605D2"/>
    <w:multiLevelType w:val="hybridMultilevel"/>
    <w:tmpl w:val="CC765BB6"/>
    <w:lvl w:ilvl="0" w:tplc="DCE60070">
      <w:start w:val="1"/>
      <w:numFmt w:val="decimal"/>
      <w:lvlText w:val="%1、"/>
      <w:lvlJc w:val="left"/>
      <w:pPr>
        <w:ind w:left="11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03E41A8">
      <w:start w:val="1"/>
      <w:numFmt w:val="lowerLetter"/>
      <w:lvlText w:val="%2"/>
      <w:lvlJc w:val="left"/>
      <w:pPr>
        <w:ind w:left="27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5B28796">
      <w:start w:val="1"/>
      <w:numFmt w:val="lowerRoman"/>
      <w:lvlText w:val="%3"/>
      <w:lvlJc w:val="left"/>
      <w:pPr>
        <w:ind w:left="34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346C998">
      <w:start w:val="1"/>
      <w:numFmt w:val="decimal"/>
      <w:lvlText w:val="%4"/>
      <w:lvlJc w:val="left"/>
      <w:pPr>
        <w:ind w:left="41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246FC6A">
      <w:start w:val="1"/>
      <w:numFmt w:val="lowerLetter"/>
      <w:lvlText w:val="%5"/>
      <w:lvlJc w:val="left"/>
      <w:pPr>
        <w:ind w:left="48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83A8472">
      <w:start w:val="1"/>
      <w:numFmt w:val="lowerRoman"/>
      <w:lvlText w:val="%6"/>
      <w:lvlJc w:val="left"/>
      <w:pPr>
        <w:ind w:left="56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5D81718">
      <w:start w:val="1"/>
      <w:numFmt w:val="decimal"/>
      <w:lvlText w:val="%7"/>
      <w:lvlJc w:val="left"/>
      <w:pPr>
        <w:ind w:left="63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A3C654C">
      <w:start w:val="1"/>
      <w:numFmt w:val="lowerLetter"/>
      <w:lvlText w:val="%8"/>
      <w:lvlJc w:val="left"/>
      <w:pPr>
        <w:ind w:left="70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E681142">
      <w:start w:val="1"/>
      <w:numFmt w:val="lowerRoman"/>
      <w:lvlText w:val="%9"/>
      <w:lvlJc w:val="left"/>
      <w:pPr>
        <w:ind w:left="77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72"/>
    <w:rsid w:val="00051779"/>
    <w:rsid w:val="004B6136"/>
    <w:rsid w:val="006A4442"/>
    <w:rsid w:val="006F096A"/>
    <w:rsid w:val="00951372"/>
    <w:rsid w:val="00A047C2"/>
    <w:rsid w:val="00E8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1BA39-4D71-423F-9560-E1DACA00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47C2"/>
    <w:pPr>
      <w:spacing w:after="308" w:line="338" w:lineRule="auto"/>
      <w:ind w:left="1080" w:firstLine="501"/>
    </w:pPr>
    <w:rPr>
      <w:rFonts w:ascii="微软雅黑" w:eastAsia="微软雅黑" w:hAnsi="微软雅黑" w:cs="微软雅黑"/>
      <w:color w:val="000000"/>
      <w:sz w:val="24"/>
    </w:rPr>
  </w:style>
  <w:style w:type="paragraph" w:styleId="1">
    <w:name w:val="heading 1"/>
    <w:next w:val="a"/>
    <w:link w:val="1Char"/>
    <w:uiPriority w:val="9"/>
    <w:unhideWhenUsed/>
    <w:qFormat/>
    <w:rsid w:val="00A047C2"/>
    <w:pPr>
      <w:keepNext/>
      <w:keepLines/>
      <w:spacing w:after="19" w:line="259" w:lineRule="auto"/>
      <w:ind w:left="10" w:hanging="10"/>
      <w:outlineLvl w:val="0"/>
    </w:pPr>
    <w:rPr>
      <w:rFonts w:ascii="微软雅黑" w:eastAsia="微软雅黑" w:hAnsi="微软雅黑" w:cs="微软雅黑"/>
      <w:color w:val="3B476B"/>
      <w:sz w:val="44"/>
    </w:rPr>
  </w:style>
  <w:style w:type="paragraph" w:styleId="2">
    <w:name w:val="heading 2"/>
    <w:basedOn w:val="a"/>
    <w:next w:val="a"/>
    <w:link w:val="2Char"/>
    <w:uiPriority w:val="9"/>
    <w:semiHidden/>
    <w:unhideWhenUsed/>
    <w:qFormat/>
    <w:rsid w:val="00A047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47C2"/>
    <w:rPr>
      <w:sz w:val="18"/>
      <w:szCs w:val="18"/>
    </w:rPr>
  </w:style>
  <w:style w:type="paragraph" w:styleId="a4">
    <w:name w:val="footer"/>
    <w:basedOn w:val="a"/>
    <w:link w:val="Char0"/>
    <w:uiPriority w:val="99"/>
    <w:unhideWhenUsed/>
    <w:rsid w:val="00A047C2"/>
    <w:pPr>
      <w:tabs>
        <w:tab w:val="center" w:pos="4153"/>
        <w:tab w:val="right" w:pos="8306"/>
      </w:tabs>
      <w:snapToGrid w:val="0"/>
    </w:pPr>
    <w:rPr>
      <w:sz w:val="18"/>
      <w:szCs w:val="18"/>
    </w:rPr>
  </w:style>
  <w:style w:type="character" w:customStyle="1" w:styleId="Char0">
    <w:name w:val="页脚 Char"/>
    <w:basedOn w:val="a0"/>
    <w:link w:val="a4"/>
    <w:uiPriority w:val="99"/>
    <w:rsid w:val="00A047C2"/>
    <w:rPr>
      <w:sz w:val="18"/>
      <w:szCs w:val="18"/>
    </w:rPr>
  </w:style>
  <w:style w:type="character" w:customStyle="1" w:styleId="1Char">
    <w:name w:val="标题 1 Char"/>
    <w:basedOn w:val="a0"/>
    <w:link w:val="1"/>
    <w:uiPriority w:val="9"/>
    <w:rsid w:val="00A047C2"/>
    <w:rPr>
      <w:rFonts w:ascii="微软雅黑" w:eastAsia="微软雅黑" w:hAnsi="微软雅黑" w:cs="微软雅黑"/>
      <w:color w:val="3B476B"/>
      <w:sz w:val="44"/>
    </w:rPr>
  </w:style>
  <w:style w:type="character" w:customStyle="1" w:styleId="2Char">
    <w:name w:val="标题 2 Char"/>
    <w:basedOn w:val="a0"/>
    <w:link w:val="2"/>
    <w:uiPriority w:val="9"/>
    <w:semiHidden/>
    <w:rsid w:val="00A047C2"/>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Words>
  <Characters>1317</Characters>
  <Application>Microsoft Office Word</Application>
  <DocSecurity>0</DocSecurity>
  <Lines>10</Lines>
  <Paragraphs>3</Paragraphs>
  <ScaleCrop>false</ScaleCrop>
  <Company>Microsoft</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zhouyy</dc:creator>
  <cp:keywords/>
  <dc:description/>
  <cp:lastModifiedBy>黄彩凤</cp:lastModifiedBy>
  <cp:revision>2</cp:revision>
  <dcterms:created xsi:type="dcterms:W3CDTF">2016-05-10T09:21:00Z</dcterms:created>
  <dcterms:modified xsi:type="dcterms:W3CDTF">2016-05-10T09:21:00Z</dcterms:modified>
</cp:coreProperties>
</file>