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 w:hAnsi="Times New Roman" w:eastAsia="方正大标宋简体" w:cs="Times New Roman"/>
          <w:b w:val="0"/>
        </w:rPr>
      </w:pPr>
      <w:r>
        <w:rPr>
          <w:rFonts w:ascii="Times New Roman" w:hAnsi="Times New Roman" w:eastAsia="方正大标宋简体" w:cs="Times New Roman"/>
          <w:b w:val="0"/>
        </w:rPr>
        <w:t>项目评估报告</w:t>
      </w:r>
    </w:p>
    <w:tbl>
      <w:tblPr>
        <w:tblStyle w:val="12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395"/>
        <w:gridCol w:w="1352"/>
        <w:gridCol w:w="43"/>
        <w:gridCol w:w="1399"/>
        <w:gridCol w:w="1554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9700" w:type="dxa"/>
            <w:gridSpan w:val="7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方正大标宋简体" w:cs="Times New Roman"/>
                <w:sz w:val="28"/>
              </w:rPr>
            </w:pPr>
            <w:r>
              <w:rPr>
                <w:rFonts w:ascii="Times New Roman" w:hAnsi="Times New Roman" w:eastAsia="方正大标宋简体" w:cs="Times New Roman"/>
                <w:sz w:val="28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项目名称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aj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lang w:val="en-US" w:eastAsia="zh-CN"/>
              </w:rPr>
              <w:t>上海齐和与安徽博澳债权纠纷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委托人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ind w:firstLine="2625" w:firstLineChars="1250"/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玉臻资产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地址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联系人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aj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lang w:val="en-US" w:eastAsia="zh-CN"/>
              </w:rPr>
              <w:t>徐总</w:t>
            </w:r>
          </w:p>
        </w:tc>
        <w:tc>
          <w:tcPr>
            <w:tcW w:w="139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</w:rPr>
              <w:t>手机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aj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lang w:val="en-US" w:eastAsia="zh-CN"/>
              </w:rPr>
              <w:t>13671508447</w:t>
            </w: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邮箱</w:t>
            </w:r>
          </w:p>
        </w:tc>
        <w:tc>
          <w:tcPr>
            <w:tcW w:w="2506" w:type="dxa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代理人（选）</w:t>
            </w:r>
          </w:p>
        </w:tc>
        <w:tc>
          <w:tcPr>
            <w:tcW w:w="4189" w:type="dxa"/>
            <w:gridSpan w:val="4"/>
            <w:vAlign w:val="center"/>
          </w:tcPr>
          <w:p>
            <w:pPr>
              <w:rPr>
                <w:rFonts w:ascii="Times New Roman" w:hAnsi="Times New Roman" w:cs="Times New Roman" w:eastAsiaTheme="majorEastAsia"/>
              </w:rPr>
            </w:pP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手机</w:t>
            </w:r>
          </w:p>
        </w:tc>
        <w:tc>
          <w:tcPr>
            <w:tcW w:w="2506" w:type="dxa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单位</w:t>
            </w:r>
          </w:p>
        </w:tc>
        <w:tc>
          <w:tcPr>
            <w:tcW w:w="2747" w:type="dxa"/>
            <w:gridSpan w:val="2"/>
            <w:vAlign w:val="center"/>
          </w:tcPr>
          <w:p>
            <w:pPr>
              <w:rPr>
                <w:rFonts w:ascii="Times New Roman" w:hAnsi="Times New Roman" w:cs="Times New Roman" w:eastAsiaTheme="majorEastAsia"/>
              </w:rPr>
            </w:pPr>
          </w:p>
        </w:tc>
        <w:tc>
          <w:tcPr>
            <w:tcW w:w="144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地址</w:t>
            </w:r>
          </w:p>
        </w:tc>
        <w:tc>
          <w:tcPr>
            <w:tcW w:w="4060" w:type="dxa"/>
            <w:gridSpan w:val="2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对方当事人1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安徽博澳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地址1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对方当事人2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地址2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对方当事人3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地址3</w:t>
            </w:r>
          </w:p>
        </w:tc>
        <w:tc>
          <w:tcPr>
            <w:tcW w:w="8249" w:type="dxa"/>
            <w:gridSpan w:val="6"/>
            <w:tcBorders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9700" w:type="dxa"/>
            <w:gridSpan w:val="7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方正大标宋简体" w:cs="Times New Roman"/>
                <w:sz w:val="28"/>
              </w:rPr>
            </w:pPr>
            <w:r>
              <w:rPr>
                <w:rFonts w:ascii="Times New Roman" w:hAnsi="Times New Roman" w:eastAsia="方正大标宋简体" w:cs="Times New Roman"/>
                <w:sz w:val="28"/>
              </w:rPr>
              <w:t>项目情况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客户目标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通过执行处置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实现债权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标的额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ajorEastAsia"/>
                <w:b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lang w:val="en-US" w:eastAsia="zh-CN"/>
              </w:rPr>
              <w:t>本息合计1.3亿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8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目前案情</w:t>
            </w:r>
            <w:r>
              <w:rPr>
                <w:rFonts w:ascii="Times New Roman" w:hAnsi="Times New Roman" w:cs="Times New Roman" w:eastAsiaTheme="majorEastAsia"/>
                <w:b/>
              </w:rPr>
              <w:br w:type="textWrapping"/>
            </w:r>
            <w:r>
              <w:rPr>
                <w:rFonts w:ascii="Times New Roman" w:hAnsi="Times New Roman" w:cs="Times New Roman" w:eastAsiaTheme="majorEastAsia"/>
                <w:b/>
              </w:rPr>
              <w:t>简述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</w:tcPr>
          <w:p>
            <w:pPr>
              <w:pStyle w:val="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安徽博澳企业投资发展有限公司于2003年成立于安徽省合肥市，公司注册资本1亿元人民币，法定代表人刘林，国家二级房地产开发资质。主营业务为企业投资、房地产开发与经营、项目投资与管理、资产管理、酒店管理等</w:t>
            </w:r>
            <w:r>
              <w:rPr>
                <w:rFonts w:hint="eastAsia" w:ascii="宋体" w:hAnsi="宋体" w:cs="宋体"/>
                <w:szCs w:val="21"/>
              </w:rPr>
              <w:t>。</w:t>
            </w:r>
            <w:r>
              <w:rPr>
                <w:rFonts w:ascii="宋体" w:hAnsi="宋体" w:cs="宋体"/>
                <w:szCs w:val="21"/>
              </w:rPr>
              <w:t>公司自2007年第一个开发项目博澳•丽苑启动，至目前6年多时间，在合肥市已建成并投入使用项目累积超过100万平方米，项目业态分布为住宅、沿街商业、大型卖场及酒店等。其中酒店及商业经营项目全部为公司自持产权物业</w:t>
            </w:r>
            <w:r>
              <w:rPr>
                <w:rFonts w:hint="eastAsia" w:ascii="宋体" w:hAnsi="宋体" w:cs="宋体"/>
                <w:szCs w:val="21"/>
              </w:rPr>
              <w:t>。</w:t>
            </w:r>
            <w:r>
              <w:rPr>
                <w:rFonts w:ascii="宋体" w:hAnsi="宋体" w:cs="宋体"/>
                <w:bCs/>
                <w:szCs w:val="21"/>
              </w:rPr>
              <w:t>投资建设项目1、博澳•丽苑项目</w:t>
            </w:r>
            <w:r>
              <w:rPr>
                <w:rFonts w:hint="eastAsia" w:ascii="宋体" w:hAnsi="宋体" w:cs="宋体"/>
                <w:bCs/>
                <w:szCs w:val="21"/>
              </w:rPr>
              <w:t>；</w:t>
            </w:r>
            <w:r>
              <w:rPr>
                <w:rFonts w:ascii="宋体" w:hAnsi="宋体" w:cs="宋体"/>
                <w:bCs/>
                <w:szCs w:val="21"/>
              </w:rPr>
              <w:t>2、博澳名苑项目</w:t>
            </w:r>
            <w:r>
              <w:rPr>
                <w:rFonts w:hint="eastAsia" w:ascii="宋体" w:hAnsi="宋体" w:cs="宋体"/>
                <w:bCs/>
                <w:szCs w:val="21"/>
              </w:rPr>
              <w:t>；</w:t>
            </w:r>
            <w:r>
              <w:rPr>
                <w:rFonts w:ascii="宋体" w:hAnsi="宋体" w:cs="宋体"/>
                <w:bCs/>
                <w:szCs w:val="21"/>
              </w:rPr>
              <w:t>3、合肥皇冠假日酒店项目</w:t>
            </w:r>
            <w:r>
              <w:rPr>
                <w:rFonts w:hint="eastAsia" w:ascii="宋体" w:hAnsi="宋体" w:cs="宋体"/>
                <w:bCs/>
                <w:szCs w:val="21"/>
              </w:rPr>
              <w:t>；</w:t>
            </w:r>
            <w:r>
              <w:rPr>
                <w:rFonts w:ascii="宋体" w:hAnsi="宋体" w:cs="宋体"/>
                <w:bCs/>
                <w:szCs w:val="21"/>
              </w:rPr>
              <w:t>4、合肥贝斯特韦斯特精品酒店</w:t>
            </w:r>
            <w:r>
              <w:rPr>
                <w:rFonts w:hint="eastAsia" w:ascii="宋体" w:hAnsi="宋体" w:cs="宋体"/>
                <w:bCs/>
                <w:szCs w:val="21"/>
              </w:rPr>
              <w:t>；</w:t>
            </w:r>
            <w:r>
              <w:rPr>
                <w:rFonts w:ascii="宋体" w:hAnsi="宋体" w:cs="宋体"/>
                <w:bCs/>
                <w:szCs w:val="21"/>
              </w:rPr>
              <w:t>5、合肥龙宫会所俱乐部项目</w:t>
            </w:r>
            <w:r>
              <w:rPr>
                <w:rFonts w:hint="eastAsia" w:ascii="宋体" w:hAnsi="宋体" w:cs="宋体"/>
                <w:bCs/>
                <w:szCs w:val="21"/>
              </w:rPr>
              <w:t>。</w:t>
            </w:r>
          </w:p>
          <w:p>
            <w:pPr>
              <w:pStyle w:val="4"/>
              <w:spacing w:line="240" w:lineRule="auto"/>
              <w:ind w:firstLineChars="200"/>
              <w:jc w:val="both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抵押物为重庆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君禧天地项目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土地92,899平方米约139亩</w:t>
            </w:r>
            <w:r>
              <w:rPr>
                <w:rFonts w:hint="eastAsia" w:ascii="宋体" w:hAnsi="宋体" w:cs="宋体"/>
                <w:szCs w:val="21"/>
              </w:rPr>
              <w:t>。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重庆君禧天地项目位于重庆市南部巴南区巴滨路上，是该片区内唯一一个亲水（长江）项目，占地面积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23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万㎡（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345.3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亩），总建筑面积约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48.3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万㎡。规划业态：低密度住宅、大型购物中心、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2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座五星级酒店、沿江独幢商业。项目分三个地块开发。</w:t>
            </w:r>
          </w:p>
          <w:p>
            <w:pPr>
              <w:pStyle w:val="4"/>
              <w:spacing w:line="240" w:lineRule="auto"/>
              <w:ind w:firstLineChars="200"/>
              <w:jc w:val="both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担保方为刘林实际控制人、重庆帝烨地产投资有限公司、安徽胜华投资管理有限公司。</w:t>
            </w:r>
          </w:p>
          <w:p>
            <w:pPr>
              <w:pStyle w:val="4"/>
              <w:spacing w:line="240" w:lineRule="auto"/>
              <w:ind w:firstLineChars="200"/>
              <w:jc w:val="both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</w:p>
          <w:p>
            <w:pPr>
              <w:pStyle w:val="4"/>
              <w:spacing w:line="240" w:lineRule="auto"/>
              <w:ind w:left="0" w:leftChars="0" w:firstLine="0" w:firstLineChars="0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逾期日：2014年8月4日（2014年7月4日-2014年8月4日展期）</w:t>
            </w:r>
          </w:p>
          <w:p>
            <w:pPr>
              <w:pStyle w:val="4"/>
              <w:spacing w:line="240" w:lineRule="auto"/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重庆君禧天地项目二拍结束。项目流拍是因为估价太高，导致没有人来竞拍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债务人在当地有一定影响力。</w:t>
            </w:r>
            <w:r>
              <w:rPr>
                <w:rFonts w:hint="eastAsia"/>
                <w:sz w:val="21"/>
                <w:szCs w:val="21"/>
                <w:lang w:eastAsia="zh-CN"/>
              </w:rPr>
              <w:t>可能是因为他们动用了当地的关系，把项目的定价太高了，阻止了拍卖的正常进行。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项目目前工程进度</w:t>
            </w:r>
          </w:p>
          <w:p>
            <w:pPr>
              <w:ind w:left="1417" w:leftChars="202" w:hanging="993" w:hangingChars="473"/>
            </w:pPr>
            <w:r>
              <w:rPr>
                <w:rFonts w:hint="eastAsia"/>
              </w:rPr>
              <w:t>1、商业：沿江商业别墅已经全部封顶，目前招商顺利，定位于企业总部，包括迪卡侬等已签订协议。中间商业部分也已经造到2层。</w:t>
            </w:r>
          </w:p>
          <w:p>
            <w:pPr>
              <w:ind w:left="1417" w:leftChars="202" w:hanging="993" w:hangingChars="473"/>
            </w:pPr>
            <w:r>
              <w:rPr>
                <w:rFonts w:hint="eastAsia"/>
              </w:rPr>
              <w:t>2、住宅：11月上旬开盘，3幢小高层已造到一半，另外2幢地下工程已完工。</w:t>
            </w:r>
          </w:p>
          <w:p>
            <w:pPr>
              <w:ind w:left="1417" w:leftChars="202" w:hanging="993" w:hangingChars="473"/>
            </w:pPr>
            <w:r>
              <w:rPr>
                <w:rFonts w:hint="eastAsia"/>
              </w:rPr>
              <w:t>3、酒店：两栋酒店正在施工中。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66" w:hRule="atLeast"/>
        </w:trPr>
        <w:tc>
          <w:tcPr>
            <w:tcW w:w="1451" w:type="dxa"/>
            <w:tcBorders>
              <w:left w:val="single" w:color="auto" w:sz="18" w:space="0"/>
              <w:bottom w:val="single" w:color="auto" w:sz="12" w:space="0"/>
            </w:tcBorders>
            <w:vAlign w:val="center"/>
          </w:tcPr>
          <w:p>
            <w:pPr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资料清单</w:t>
            </w:r>
          </w:p>
        </w:tc>
        <w:tc>
          <w:tcPr>
            <w:tcW w:w="8249" w:type="dxa"/>
            <w:gridSpan w:val="6"/>
            <w:tcBorders>
              <w:bottom w:val="single" w:color="auto" w:sz="12" w:space="0"/>
              <w:right w:val="single" w:color="auto" w:sz="18" w:space="0"/>
            </w:tcBorders>
          </w:tcPr>
          <w:p>
            <w:pPr>
              <w:pStyle w:val="8"/>
              <w:shd w:val="clear" w:color="auto" w:fill="FFFFFF"/>
              <w:spacing w:line="330" w:lineRule="atLeast"/>
              <w:ind w:left="360"/>
              <w:rPr>
                <w:rFonts w:ascii="Times New Roman" w:hAnsi="Times New Roman" w:cs="Times New Roman" w:eastAsiaTheme="majorEastAsia"/>
              </w:rPr>
            </w:pPr>
          </w:p>
        </w:tc>
      </w:tr>
    </w:tbl>
    <w:p>
      <w:pPr>
        <w:rPr>
          <w:rFonts w:ascii="Times New Roman" w:hAnsi="Times New Roman" w:cs="Times New Roman" w:eastAsiaTheme="majorEastAsia"/>
        </w:rPr>
      </w:pPr>
    </w:p>
    <w:tbl>
      <w:tblPr>
        <w:tblStyle w:val="12"/>
        <w:tblW w:w="9700" w:type="dxa"/>
        <w:tblInd w:w="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4124"/>
        <w:gridCol w:w="4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9700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方正大标宋简体" w:cs="Times New Roman"/>
                <w:sz w:val="28"/>
              </w:rPr>
            </w:pPr>
            <w:r>
              <w:rPr>
                <w:rFonts w:ascii="Times New Roman" w:hAnsi="Times New Roman" w:eastAsia="方正大标宋简体" w:cs="Times New Roman"/>
                <w:sz w:val="28"/>
              </w:rPr>
              <w:t>风控部意见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2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评估意见1</w:t>
            </w:r>
          </w:p>
        </w:tc>
        <w:tc>
          <w:tcPr>
            <w:tcW w:w="8248" w:type="dxa"/>
            <w:gridSpan w:val="2"/>
            <w:tcBorders>
              <w:bottom w:val="nil"/>
              <w:right w:val="single" w:color="auto" w:sz="12" w:space="0"/>
            </w:tcBorders>
          </w:tcPr>
          <w:p>
            <w:pPr>
              <w:rPr>
                <w:rFonts w:hint="eastAsia"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145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</w:p>
        </w:tc>
        <w:tc>
          <w:tcPr>
            <w:tcW w:w="4124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rPr>
                <w:rFonts w:ascii="Times New Roman" w:hAnsi="Times New Roman" w:eastAsia="方正大标宋简体" w:cs="Times New Roman"/>
              </w:rPr>
            </w:pPr>
            <w:r>
              <w:rPr>
                <w:rFonts w:ascii="Times New Roman" w:hAnsi="Times New Roman" w:eastAsia="方正大标宋简体" w:cs="Times New Roman"/>
              </w:rPr>
              <w:t>分析师：</w:t>
            </w:r>
          </w:p>
        </w:tc>
        <w:tc>
          <w:tcPr>
            <w:tcW w:w="4124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</w:tcPr>
          <w:p>
            <w:pPr>
              <w:jc w:val="right"/>
              <w:rPr>
                <w:rFonts w:ascii="Times New Roman" w:hAnsi="Times New Roman" w:eastAsia="方正大标宋简体" w:cs="Times New Roman"/>
              </w:rPr>
            </w:pPr>
            <w:r>
              <w:rPr>
                <w:rFonts w:ascii="Times New Roman" w:hAnsi="Times New Roman" w:eastAsia="方正大标宋简体" w:cs="Times New Roman"/>
              </w:rPr>
              <w:t>评估时间：2016年月日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2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总监审核</w:t>
            </w:r>
          </w:p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及</w:t>
            </w:r>
          </w:p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签约建议</w:t>
            </w:r>
          </w:p>
        </w:tc>
        <w:tc>
          <w:tcPr>
            <w:tcW w:w="8248" w:type="dxa"/>
            <w:gridSpan w:val="2"/>
            <w:tcBorders>
              <w:bottom w:val="nil"/>
              <w:right w:val="single" w:color="auto" w:sz="12" w:space="0"/>
            </w:tcBorders>
          </w:tcPr>
          <w:p>
            <w:pPr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1452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  <w:tc>
          <w:tcPr>
            <w:tcW w:w="4124" w:type="dxa"/>
            <w:tcBorders>
              <w:top w:val="nil"/>
              <w:bottom w:val="single" w:color="auto" w:sz="12" w:space="0"/>
              <w:right w:val="nil"/>
            </w:tcBorders>
          </w:tcPr>
          <w:p>
            <w:pPr>
              <w:rPr>
                <w:rFonts w:ascii="Times New Roman" w:hAnsi="Times New Roman" w:eastAsia="方正大标宋简体" w:cs="Times New Roman"/>
              </w:rPr>
            </w:pPr>
            <w:r>
              <w:rPr>
                <w:rFonts w:ascii="Times New Roman" w:hAnsi="Times New Roman" w:eastAsia="方正大标宋简体" w:cs="Times New Roman"/>
              </w:rPr>
              <w:t>签字：</w:t>
            </w:r>
          </w:p>
        </w:tc>
        <w:tc>
          <w:tcPr>
            <w:tcW w:w="4124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right"/>
              <w:rPr>
                <w:rFonts w:ascii="Times New Roman" w:hAnsi="Times New Roman" w:eastAsia="方正大标宋简体" w:cs="Times New Roman"/>
              </w:rPr>
            </w:pPr>
            <w:r>
              <w:rPr>
                <w:rFonts w:ascii="Times New Roman" w:hAnsi="Times New Roman" w:eastAsia="方正大标宋简体" w:cs="Times New Roman"/>
              </w:rPr>
              <w:t>时间：2016年月日</w:t>
            </w:r>
          </w:p>
        </w:tc>
      </w:tr>
    </w:tbl>
    <w:p>
      <w:pPr>
        <w:jc w:val="center"/>
        <w:rPr>
          <w:rFonts w:ascii="Times New Roman" w:hAnsi="Times New Roman" w:cs="Times New Roman" w:eastAsiaTheme="majorEastAsia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080" w:bottom="1440" w:left="1080" w:header="851" w:footer="51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大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ldine721 BT">
    <w:altName w:val="Cambria"/>
    <w:panose1 w:val="02040603050506020403"/>
    <w:charset w:val="00"/>
    <w:family w:val="roman"/>
    <w:pitch w:val="default"/>
    <w:sig w:usb0="00000000" w:usb1="00000000" w:usb2="00000000" w:usb3="00000000" w:csb0="0000001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48801026"/>
    </w:sdtPr>
    <w:sdtEndPr>
      <w:rPr>
        <w:rFonts w:ascii="Times New Roman" w:hAnsi="Times New Roman" w:cs="Times New Roman"/>
      </w:rPr>
    </w:sdtEndPr>
    <w:sdtContent>
      <w:sdt>
        <w:sdtPr>
          <w:id w:val="1728636285"/>
        </w:sdtPr>
        <w:sdtEndPr>
          <w:rPr>
            <w:rFonts w:ascii="Times New Roman" w:hAnsi="Times New Roman" w:cs="Times New Roman"/>
          </w:rPr>
        </w:sdtEndPr>
        <w:sdtContent>
          <w:p>
            <w:pPr>
              <w:pStyle w:val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PAGE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NUMPAGES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03848208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黑体" w:hAnsi="黑体" w:eastAsia="黑体"/>
        <w:color w:val="808080"/>
      </w:rPr>
    </w:pPr>
    <w:r>
      <w:rPr>
        <w:rFonts w:hint="eastAsia" w:ascii="黑体" w:hAnsi="黑体" w:eastAsia="黑体"/>
        <w:color w:val="808080"/>
      </w:rPr>
      <w:t>项目评估报告</w:t>
    </w:r>
    <w:r>
      <w:rPr>
        <w:rFonts w:ascii="黑体" w:hAnsi="黑体" w:eastAsia="黑体"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250" cy="25209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黑体" w:hAnsi="黑体" w:eastAsia="黑体"/>
        <w:color w:val="808080"/>
      </w:rPr>
    </w:pPr>
    <w:r>
      <w:rPr>
        <w:rFonts w:ascii="黑体" w:hAnsi="黑体" w:eastAsia="黑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250" cy="25209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黑体" w:hAnsi="黑体" w:eastAsia="黑体"/>
        <w:color w:val="808080"/>
      </w:rPr>
      <w:t>【内部</w:t>
    </w:r>
    <w:r>
      <w:rPr>
        <w:rFonts w:ascii="黑体" w:hAnsi="黑体" w:eastAsia="黑体"/>
        <w:color w:val="808080"/>
      </w:rPr>
      <w:t>资料·保密】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638DC"/>
    <w:rsid w:val="000B120C"/>
    <w:rsid w:val="00124C68"/>
    <w:rsid w:val="001628D3"/>
    <w:rsid w:val="00163C80"/>
    <w:rsid w:val="001A0190"/>
    <w:rsid w:val="001A3CAA"/>
    <w:rsid w:val="001A670A"/>
    <w:rsid w:val="001B0B0D"/>
    <w:rsid w:val="001B3ACD"/>
    <w:rsid w:val="001C6FEF"/>
    <w:rsid w:val="001D22C7"/>
    <w:rsid w:val="0020105C"/>
    <w:rsid w:val="00212E13"/>
    <w:rsid w:val="002358B7"/>
    <w:rsid w:val="00245703"/>
    <w:rsid w:val="00274D90"/>
    <w:rsid w:val="002A1BC7"/>
    <w:rsid w:val="002F078D"/>
    <w:rsid w:val="002F0861"/>
    <w:rsid w:val="00303591"/>
    <w:rsid w:val="00310A94"/>
    <w:rsid w:val="00356D97"/>
    <w:rsid w:val="003654CE"/>
    <w:rsid w:val="00370371"/>
    <w:rsid w:val="00372FEA"/>
    <w:rsid w:val="003950A1"/>
    <w:rsid w:val="00396E50"/>
    <w:rsid w:val="003A4E69"/>
    <w:rsid w:val="003C3708"/>
    <w:rsid w:val="003D4553"/>
    <w:rsid w:val="003E37AA"/>
    <w:rsid w:val="003F065D"/>
    <w:rsid w:val="00431711"/>
    <w:rsid w:val="00434991"/>
    <w:rsid w:val="00466493"/>
    <w:rsid w:val="004808E3"/>
    <w:rsid w:val="00490C9C"/>
    <w:rsid w:val="004A4074"/>
    <w:rsid w:val="004B5C7A"/>
    <w:rsid w:val="004E2C1E"/>
    <w:rsid w:val="004E5B4B"/>
    <w:rsid w:val="004F188A"/>
    <w:rsid w:val="0050538A"/>
    <w:rsid w:val="00512473"/>
    <w:rsid w:val="00526991"/>
    <w:rsid w:val="00535981"/>
    <w:rsid w:val="00550E9E"/>
    <w:rsid w:val="005875CF"/>
    <w:rsid w:val="005A546B"/>
    <w:rsid w:val="005B7DFA"/>
    <w:rsid w:val="005D6798"/>
    <w:rsid w:val="005E0A17"/>
    <w:rsid w:val="005E74A9"/>
    <w:rsid w:val="006002DD"/>
    <w:rsid w:val="00623699"/>
    <w:rsid w:val="0062466B"/>
    <w:rsid w:val="006311F2"/>
    <w:rsid w:val="00661EC8"/>
    <w:rsid w:val="0069608E"/>
    <w:rsid w:val="006A4813"/>
    <w:rsid w:val="006A6E8B"/>
    <w:rsid w:val="007635E8"/>
    <w:rsid w:val="00771ED9"/>
    <w:rsid w:val="007A14D3"/>
    <w:rsid w:val="007F2AD6"/>
    <w:rsid w:val="007F364B"/>
    <w:rsid w:val="007F4791"/>
    <w:rsid w:val="007F4AF1"/>
    <w:rsid w:val="008210A5"/>
    <w:rsid w:val="00826DBE"/>
    <w:rsid w:val="00837533"/>
    <w:rsid w:val="00845047"/>
    <w:rsid w:val="008514F6"/>
    <w:rsid w:val="008535BF"/>
    <w:rsid w:val="008E7D1B"/>
    <w:rsid w:val="008F00C6"/>
    <w:rsid w:val="009147FC"/>
    <w:rsid w:val="00925C9D"/>
    <w:rsid w:val="00926334"/>
    <w:rsid w:val="00963823"/>
    <w:rsid w:val="009725A1"/>
    <w:rsid w:val="00973ADD"/>
    <w:rsid w:val="00983580"/>
    <w:rsid w:val="00985B45"/>
    <w:rsid w:val="00994A9C"/>
    <w:rsid w:val="009B10D2"/>
    <w:rsid w:val="009B39F3"/>
    <w:rsid w:val="00A00C40"/>
    <w:rsid w:val="00A3440E"/>
    <w:rsid w:val="00A61BA1"/>
    <w:rsid w:val="00A62C1F"/>
    <w:rsid w:val="00A62F09"/>
    <w:rsid w:val="00A73B9C"/>
    <w:rsid w:val="00A9292E"/>
    <w:rsid w:val="00AA119F"/>
    <w:rsid w:val="00AB2FBB"/>
    <w:rsid w:val="00AD09B0"/>
    <w:rsid w:val="00AD5151"/>
    <w:rsid w:val="00B32594"/>
    <w:rsid w:val="00B453DD"/>
    <w:rsid w:val="00B57B36"/>
    <w:rsid w:val="00B708D7"/>
    <w:rsid w:val="00B83953"/>
    <w:rsid w:val="00BC3F02"/>
    <w:rsid w:val="00BE3BC8"/>
    <w:rsid w:val="00BE583F"/>
    <w:rsid w:val="00C123A4"/>
    <w:rsid w:val="00C151CA"/>
    <w:rsid w:val="00C17EA1"/>
    <w:rsid w:val="00C200AE"/>
    <w:rsid w:val="00C364EA"/>
    <w:rsid w:val="00C476A5"/>
    <w:rsid w:val="00C53FAA"/>
    <w:rsid w:val="00C54952"/>
    <w:rsid w:val="00C64FA8"/>
    <w:rsid w:val="00C65898"/>
    <w:rsid w:val="00C76344"/>
    <w:rsid w:val="00C94932"/>
    <w:rsid w:val="00CC1241"/>
    <w:rsid w:val="00CD5D6C"/>
    <w:rsid w:val="00CE124A"/>
    <w:rsid w:val="00CE75F9"/>
    <w:rsid w:val="00D02037"/>
    <w:rsid w:val="00D144D6"/>
    <w:rsid w:val="00D1772D"/>
    <w:rsid w:val="00D2529D"/>
    <w:rsid w:val="00D44375"/>
    <w:rsid w:val="00D67226"/>
    <w:rsid w:val="00D71AD1"/>
    <w:rsid w:val="00D84CBE"/>
    <w:rsid w:val="00D87FB7"/>
    <w:rsid w:val="00D90513"/>
    <w:rsid w:val="00DD7CDE"/>
    <w:rsid w:val="00E05AA4"/>
    <w:rsid w:val="00E21ADE"/>
    <w:rsid w:val="00E27CA6"/>
    <w:rsid w:val="00E27CE7"/>
    <w:rsid w:val="00E32031"/>
    <w:rsid w:val="00E3774B"/>
    <w:rsid w:val="00E45D90"/>
    <w:rsid w:val="00E56146"/>
    <w:rsid w:val="00E665F2"/>
    <w:rsid w:val="00EE1134"/>
    <w:rsid w:val="00F2465F"/>
    <w:rsid w:val="00F327D3"/>
    <w:rsid w:val="00F34F7E"/>
    <w:rsid w:val="00F634A1"/>
    <w:rsid w:val="00F96C3E"/>
    <w:rsid w:val="00FB2CF0"/>
    <w:rsid w:val="00FB5A83"/>
    <w:rsid w:val="00FD09CA"/>
    <w:rsid w:val="00FD6B8A"/>
    <w:rsid w:val="00FE1FBF"/>
    <w:rsid w:val="3AE06DD4"/>
    <w:rsid w:val="625807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Normal Indent"/>
    <w:basedOn w:val="1"/>
    <w:unhideWhenUsed/>
    <w:uiPriority w:val="99"/>
    <w:pPr>
      <w:widowControl/>
      <w:spacing w:line="640" w:lineRule="exact"/>
      <w:ind w:firstLine="420"/>
      <w:jc w:val="left"/>
    </w:pPr>
    <w:rPr>
      <w:rFonts w:ascii="Aldine721 BT" w:hAnsi="Aldine721 BT"/>
      <w:kern w:val="0"/>
      <w:sz w:val="28"/>
      <w:szCs w:val="24"/>
      <w:lang w:eastAsia="en-US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annotation reference"/>
    <w:basedOn w:val="10"/>
    <w:unhideWhenUsed/>
    <w:uiPriority w:val="99"/>
    <w:rPr>
      <w:sz w:val="21"/>
      <w:szCs w:val="21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脚 Char"/>
    <w:basedOn w:val="10"/>
    <w:link w:val="6"/>
    <w:uiPriority w:val="99"/>
    <w:rPr>
      <w:sz w:val="18"/>
      <w:szCs w:val="18"/>
    </w:rPr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批注文字 Char"/>
    <w:basedOn w:val="10"/>
    <w:link w:val="3"/>
    <w:semiHidden/>
    <w:uiPriority w:val="99"/>
  </w:style>
  <w:style w:type="character" w:customStyle="1" w:styleId="17">
    <w:name w:val="批注主题 Char"/>
    <w:basedOn w:val="16"/>
    <w:link w:val="2"/>
    <w:semiHidden/>
    <w:uiPriority w:val="99"/>
    <w:rPr>
      <w:b/>
      <w:bCs/>
    </w:rPr>
  </w:style>
  <w:style w:type="character" w:customStyle="1" w:styleId="18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9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EEB46D-3AAD-4586-9F9A-94CF3899EC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Company>Microsoft</Company>
  <Pages>2</Pages>
  <Words>87</Words>
  <Characters>501</Characters>
  <Lines>4</Lines>
  <Paragraphs>1</Paragraphs>
  <ScaleCrop>false</ScaleCrop>
  <LinksUpToDate>false</LinksUpToDate>
  <CharactersWithSpaces>587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2016-03-12T06:00:00Z</dcterms:created>
  <dc:creator>bangying</dc:creator>
  <cp:lastModifiedBy>lenovo</cp:lastModifiedBy>
  <cp:lastPrinted>2015-10-15T00:50:00Z</cp:lastPrinted>
  <dcterms:modified xsi:type="dcterms:W3CDTF">2016-04-14T08:18:24Z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