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FC28DD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二十三局广州分公司</w:t>
            </w:r>
            <w:r w:rsidR="00327E51"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 w:hint="eastAsia"/>
              </w:rPr>
              <w:t>福建合利投资</w:t>
            </w:r>
            <w:r>
              <w:rPr>
                <w:rFonts w:ascii="Times New Roman" w:eastAsiaTheme="majorEastAsia" w:hAnsi="Times New Roman" w:cs="Times New Roman"/>
              </w:rPr>
              <w:t>仲裁纠纷案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FC28DD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二十三局广州分公司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FC28DD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四川省成都</w:t>
            </w:r>
            <w:r>
              <w:rPr>
                <w:rFonts w:ascii="Times New Roman" w:eastAsiaTheme="majorEastAsia" w:hAnsi="Times New Roman" w:cs="Times New Roman"/>
              </w:rPr>
              <w:t>高新技术开发区</w:t>
            </w:r>
            <w:r>
              <w:rPr>
                <w:rFonts w:ascii="Times New Roman" w:eastAsiaTheme="majorEastAsia" w:hAnsi="Times New Roman" w:cs="Times New Roman" w:hint="eastAsia"/>
              </w:rPr>
              <w:t>桂</w:t>
            </w:r>
            <w:r>
              <w:rPr>
                <w:rFonts w:ascii="Times New Roman" w:eastAsiaTheme="majorEastAsia" w:hAnsi="Times New Roman" w:cs="Times New Roman"/>
              </w:rPr>
              <w:t>溪工业园</w:t>
            </w:r>
          </w:p>
        </w:tc>
      </w:tr>
      <w:tr w:rsidR="00B708D7" w:rsidRPr="00E27CA6" w:rsidTr="00FC28D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FC28DD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蒋松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FC28DD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/>
                <w:color w:val="555555"/>
                <w:szCs w:val="21"/>
                <w:shd w:val="clear" w:color="auto" w:fill="FFFFFF"/>
              </w:rPr>
              <w:t>13701218812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FC28DD" w:rsidP="00C364E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福建合利投资</w:t>
            </w:r>
            <w:r>
              <w:rPr>
                <w:rFonts w:asciiTheme="minorEastAsia" w:hAnsiTheme="minorEastAsia" w:cs="Times New Roman"/>
                <w:szCs w:val="21"/>
              </w:rPr>
              <w:t>有限公司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FC28DD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福建省福州市</w:t>
            </w:r>
            <w:r>
              <w:rPr>
                <w:rFonts w:ascii="Times New Roman" w:eastAsiaTheme="majorEastAsia" w:hAnsi="Times New Roman" w:cs="Times New Roman"/>
              </w:rPr>
              <w:t>鼓楼</w:t>
            </w:r>
            <w:r>
              <w:rPr>
                <w:rFonts w:ascii="Times New Roman" w:eastAsiaTheme="majorEastAsia" w:hAnsi="Times New Roman" w:cs="Times New Roman" w:hint="eastAsia"/>
              </w:rPr>
              <w:t>区</w:t>
            </w:r>
            <w:r>
              <w:rPr>
                <w:rFonts w:ascii="Times New Roman" w:eastAsiaTheme="majorEastAsia" w:hAnsi="Times New Roman" w:cs="Times New Roman"/>
              </w:rPr>
              <w:t>五四路</w:t>
            </w:r>
            <w:r>
              <w:rPr>
                <w:rFonts w:ascii="Times New Roman" w:eastAsiaTheme="majorEastAsia" w:hAnsi="Times New Roman" w:cs="Times New Roman" w:hint="eastAsia"/>
              </w:rPr>
              <w:t>147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星顺明珠大楼一楼东头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973ADD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</w:t>
            </w:r>
            <w:r w:rsidR="00FC28DD">
              <w:rPr>
                <w:rFonts w:asciiTheme="minorEastAsia" w:hAnsiTheme="minorEastAsia" w:hint="eastAsia"/>
                <w:color w:val="000000"/>
                <w:szCs w:val="21"/>
              </w:rPr>
              <w:t>申请撤销福州中院仲裁裁决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FC28DD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  <w:r>
              <w:rPr>
                <w:rFonts w:ascii="Times New Roman" w:eastAsiaTheme="majorEastAsia" w:hAnsi="Times New Roman" w:cs="Times New Roman"/>
                <w:b/>
              </w:rPr>
              <w:t>300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D76EFA" w:rsidRPr="00D76EFA" w:rsidRDefault="00D76EFA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color w:val="FF0000"/>
              </w:rPr>
            </w:pP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本案客户为中铁二十三局集团有限公司的律师，中铁公司去年</w:t>
            </w: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12</w:t>
            </w: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月在福州与福建合利投资有限公司商事仲裁，被裁定支付对方四千多万元，现中铁公司已经向福州中院申请撤销该裁决，预计本周开庭。</w:t>
            </w:r>
          </w:p>
          <w:p w:rsidR="008E2473" w:rsidRDefault="008E2473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color w:val="FF0000"/>
              </w:rPr>
            </w:pPr>
            <w:r w:rsidRPr="00FC28DD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中铁二十三局集团有限公司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与</w:t>
            </w:r>
            <w:r w:rsidRPr="00FC28DD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福建合利投资有限公司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合作</w:t>
            </w:r>
            <w:r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  <w:t>工程项目，合利交给中铁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万保证金</w:t>
            </w:r>
            <w:r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  <w:t>，后该项目未实施，双方及案外第三人</w:t>
            </w:r>
            <w:r>
              <w:rPr>
                <w:rFonts w:ascii="Times New Roman" w:eastAsiaTheme="majorEastAsia" w:hAnsi="Times New Roman" w:cs="Times New Roman"/>
              </w:rPr>
              <w:t>贾绍连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>
              <w:rPr>
                <w:rFonts w:ascii="Times New Roman" w:eastAsiaTheme="majorEastAsia" w:hAnsi="Times New Roman" w:cs="Times New Roman"/>
              </w:rPr>
              <w:t>是中铁的人）签署了还款协议</w:t>
            </w:r>
            <w:r>
              <w:rPr>
                <w:rFonts w:ascii="Times New Roman" w:eastAsiaTheme="majorEastAsia" w:hAnsi="Times New Roman" w:cs="Times New Roman" w:hint="eastAsia"/>
              </w:rPr>
              <w:t>：</w:t>
            </w:r>
            <w:r>
              <w:rPr>
                <w:rFonts w:ascii="Times New Roman" w:eastAsiaTheme="majorEastAsia" w:hAnsi="Times New Roman" w:cs="Times New Roman"/>
              </w:rPr>
              <w:t>贾</w:t>
            </w:r>
            <w:r>
              <w:rPr>
                <w:rFonts w:ascii="Times New Roman" w:eastAsiaTheme="majorEastAsia" w:hAnsi="Times New Roman" w:cs="Times New Roman" w:hint="eastAsia"/>
              </w:rPr>
              <w:t>负责向</w:t>
            </w:r>
            <w:r>
              <w:rPr>
                <w:rFonts w:ascii="Times New Roman" w:eastAsiaTheme="majorEastAsia" w:hAnsi="Times New Roman" w:cs="Times New Roman"/>
              </w:rPr>
              <w:t>合利还款</w:t>
            </w:r>
            <w:r>
              <w:rPr>
                <w:rFonts w:ascii="Times New Roman" w:eastAsiaTheme="majorEastAsia" w:hAnsi="Times New Roman" w:cs="Times New Roman" w:hint="eastAsia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保证金之外，在支付福建合利</w:t>
            </w:r>
            <w:r>
              <w:rPr>
                <w:rFonts w:ascii="Times New Roman" w:eastAsiaTheme="majorEastAsia" w:hAnsi="Times New Roman" w:cs="Times New Roman" w:hint="eastAsia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补偿金</w:t>
            </w:r>
            <w:r>
              <w:rPr>
                <w:rFonts w:ascii="Times New Roman" w:eastAsiaTheme="majorEastAsia" w:hAnsi="Times New Roman" w:cs="Times New Roman" w:hint="eastAsia"/>
              </w:rPr>
              <w:t>，中铁为</w:t>
            </w:r>
            <w:r>
              <w:rPr>
                <w:rFonts w:ascii="Times New Roman" w:eastAsiaTheme="majorEastAsia" w:hAnsi="Times New Roman" w:cs="Times New Roman"/>
              </w:rPr>
              <w:t>贾承担连带保证责任，还款</w:t>
            </w:r>
            <w:r>
              <w:rPr>
                <w:rFonts w:ascii="Times New Roman" w:eastAsiaTheme="majorEastAsia" w:hAnsi="Times New Roman" w:cs="Times New Roman" w:hint="eastAsia"/>
              </w:rPr>
              <w:t>协议中</w:t>
            </w:r>
            <w:r>
              <w:rPr>
                <w:rFonts w:ascii="Times New Roman" w:eastAsiaTheme="majorEastAsia" w:hAnsi="Times New Roman" w:cs="Times New Roman"/>
              </w:rPr>
              <w:t>约定仲裁条款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 w:rsidRPr="008E2473">
              <w:rPr>
                <w:rFonts w:ascii="Times New Roman" w:eastAsiaTheme="majorEastAsia" w:hAnsi="Times New Roman" w:cs="Times New Roman"/>
                <w:color w:val="FF0000"/>
              </w:rPr>
              <w:t>（</w:t>
            </w:r>
            <w:r w:rsidRPr="008E2473">
              <w:rPr>
                <w:rFonts w:ascii="Times New Roman" w:eastAsiaTheme="majorEastAsia" w:hAnsi="Times New Roman" w:cs="Times New Roman" w:hint="eastAsia"/>
                <w:color w:val="FF0000"/>
              </w:rPr>
              <w:t>该协议</w:t>
            </w:r>
            <w:r w:rsidRPr="008E2473">
              <w:rPr>
                <w:rFonts w:ascii="Times New Roman" w:eastAsiaTheme="majorEastAsia" w:hAnsi="Times New Roman" w:cs="Times New Roman"/>
                <w:color w:val="FF0000"/>
              </w:rPr>
              <w:t>贾未签字）</w:t>
            </w:r>
          </w:p>
          <w:p w:rsidR="008E2473" w:rsidRPr="008E2473" w:rsidRDefault="008E2473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</w:pPr>
            <w:r w:rsidRPr="008E2473">
              <w:rPr>
                <w:rFonts w:ascii="Times New Roman" w:eastAsiaTheme="majorEastAsia" w:hAnsi="Times New Roman" w:cs="Times New Roman" w:hint="eastAsia"/>
              </w:rPr>
              <w:t>该还款</w:t>
            </w:r>
            <w:r w:rsidRPr="008E2473">
              <w:rPr>
                <w:rFonts w:ascii="Times New Roman" w:eastAsiaTheme="majorEastAsia" w:hAnsi="Times New Roman" w:cs="Times New Roman"/>
              </w:rPr>
              <w:t>协议</w:t>
            </w:r>
            <w:r>
              <w:rPr>
                <w:rFonts w:ascii="Times New Roman" w:eastAsiaTheme="majorEastAsia" w:hAnsi="Times New Roman" w:cs="Times New Roman" w:hint="eastAsia"/>
              </w:rPr>
              <w:t>发生纠纷</w:t>
            </w:r>
            <w:r>
              <w:rPr>
                <w:rFonts w:ascii="Times New Roman" w:eastAsiaTheme="majorEastAsia" w:hAnsi="Times New Roman" w:cs="Times New Roman"/>
              </w:rPr>
              <w:t>，合利向福州</w:t>
            </w:r>
            <w:r>
              <w:rPr>
                <w:rFonts w:ascii="Times New Roman" w:eastAsiaTheme="majorEastAsia" w:hAnsi="Times New Roman" w:cs="Times New Roman" w:hint="eastAsia"/>
              </w:rPr>
              <w:t>仲裁委员会</w:t>
            </w:r>
            <w:r>
              <w:rPr>
                <w:rFonts w:ascii="Times New Roman" w:eastAsiaTheme="majorEastAsia" w:hAnsi="Times New Roman" w:cs="Times New Roman"/>
              </w:rPr>
              <w:t>提起仲裁，中铁应诉并提出反仲裁。最终仲裁裁决</w:t>
            </w: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向合利返还剩余保证金</w:t>
            </w:r>
            <w:r>
              <w:rPr>
                <w:rFonts w:ascii="Times New Roman" w:eastAsiaTheme="majorEastAsia" w:hAnsi="Times New Roman" w:cs="Times New Roman" w:hint="eastAsia"/>
              </w:rPr>
              <w:t>150</w:t>
            </w:r>
            <w:r>
              <w:rPr>
                <w:rFonts w:ascii="Times New Roman" w:eastAsiaTheme="majorEastAsia" w:hAnsi="Times New Roman" w:cs="Times New Roman" w:hint="eastAsia"/>
              </w:rPr>
              <w:t>万及</w:t>
            </w:r>
            <w:r>
              <w:rPr>
                <w:rFonts w:ascii="Times New Roman" w:eastAsiaTheme="majorEastAsia" w:hAnsi="Times New Roman" w:cs="Times New Roman"/>
              </w:rPr>
              <w:t>剩余补偿金</w:t>
            </w:r>
            <w:r>
              <w:rPr>
                <w:rFonts w:ascii="Times New Roman" w:eastAsiaTheme="majorEastAsia" w:hAnsi="Times New Roman" w:cs="Times New Roman" w:hint="eastAsia"/>
              </w:rPr>
              <w:t>4200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，仲裁</w:t>
            </w:r>
            <w:r>
              <w:rPr>
                <w:rFonts w:ascii="Times New Roman" w:eastAsiaTheme="majorEastAsia" w:hAnsi="Times New Roman" w:cs="Times New Roman" w:hint="eastAsia"/>
              </w:rPr>
              <w:t>受理费</w:t>
            </w:r>
            <w:r>
              <w:rPr>
                <w:rFonts w:ascii="Times New Roman" w:eastAsiaTheme="majorEastAsia" w:hAnsi="Times New Roman" w:cs="Times New Roman"/>
              </w:rPr>
              <w:t>等费用几十万。</w:t>
            </w:r>
          </w:p>
          <w:p w:rsidR="008E2473" w:rsidRPr="008E2473" w:rsidRDefault="008E2473" w:rsidP="00D76EFA">
            <w:pPr>
              <w:pStyle w:val="HTML"/>
              <w:shd w:val="clear" w:color="auto" w:fill="FFFFFF"/>
              <w:spacing w:line="367" w:lineRule="atLeast"/>
              <w:ind w:left="420"/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</w:pPr>
          </w:p>
          <w:p w:rsidR="006410ED" w:rsidRPr="00D76EFA" w:rsidRDefault="00FC28DD" w:rsidP="00D76EFA">
            <w:pPr>
              <w:pStyle w:val="HTML"/>
              <w:shd w:val="clear" w:color="auto" w:fill="FFFFFF"/>
              <w:spacing w:line="367" w:lineRule="atLeast"/>
              <w:ind w:firstLineChars="250" w:firstLine="600"/>
              <w:rPr>
                <w:rFonts w:ascii="Times New Roman" w:eastAsiaTheme="majorEastAsia" w:hAnsi="Times New Roman" w:cs="Times New Roman"/>
              </w:rPr>
            </w:pPr>
            <w:r w:rsidRPr="00D76EFA">
              <w:rPr>
                <w:rFonts w:ascii="Times New Roman" w:eastAsiaTheme="majorEastAsia" w:hAnsi="Times New Roman" w:cs="Times New Roman" w:hint="eastAsia"/>
              </w:rPr>
              <w:t>初级市场分析师认为案件争议标的符合帮瀛模式收案需求，且仅就撤销仲裁裁决的诉讼请求而言，与对方执行能力关系不大，故提交风控审核。</w:t>
            </w:r>
          </w:p>
          <w:p w:rsidR="004A01CF" w:rsidRPr="006410ED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4A01CF" w:rsidRPr="004A01CF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973ADD" w:rsidRPr="004A01CF" w:rsidRDefault="00973ADD" w:rsidP="00973ADD">
            <w:pPr>
              <w:rPr>
                <w:rFonts w:ascii="Times New Roman" w:eastAsiaTheme="majorEastAsia" w:hAnsi="Times New Roman" w:cs="Times New Roman"/>
              </w:rPr>
            </w:pPr>
          </w:p>
          <w:p w:rsidR="00662F38" w:rsidRPr="00973ADD" w:rsidRDefault="00662F38" w:rsidP="00973ADD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05AA4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仲裁裁决</w:t>
            </w:r>
            <w:r w:rsidR="00250B40">
              <w:rPr>
                <w:rFonts w:ascii="Times New Roman" w:eastAsiaTheme="majorEastAsia" w:hAnsi="Times New Roman" w:cs="Times New Roman"/>
              </w:rPr>
              <w:t>书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773163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《山东</w:t>
            </w:r>
            <w:r>
              <w:rPr>
                <w:rFonts w:ascii="Times New Roman" w:eastAsiaTheme="majorEastAsia" w:hAnsi="Times New Roman" w:cs="Times New Roman"/>
              </w:rPr>
              <w:t>文（登）至莱（阳）高速公路工程保证金合作协议书》；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《还</w:t>
            </w:r>
            <w:r>
              <w:rPr>
                <w:rFonts w:ascii="Times New Roman" w:eastAsiaTheme="majorEastAsia" w:hAnsi="Times New Roman" w:cs="Times New Roman"/>
              </w:rPr>
              <w:t>款协议书</w:t>
            </w:r>
            <w:r>
              <w:rPr>
                <w:rFonts w:ascii="Times New Roman" w:eastAsiaTheme="majorEastAsia" w:hAnsi="Times New Roman" w:cs="Times New Roman" w:hint="eastAsia"/>
              </w:rPr>
              <w:t>》（</w:t>
            </w:r>
            <w:r>
              <w:rPr>
                <w:rFonts w:ascii="Times New Roman" w:eastAsiaTheme="majorEastAsia" w:hAnsi="Times New Roman" w:cs="Times New Roman" w:hint="eastAsia"/>
              </w:rPr>
              <w:t>2015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22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）；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转账汇款电子回单》；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贾绍连的情况说明》；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董大威情况说明》</w:t>
            </w:r>
            <w:r>
              <w:rPr>
                <w:rFonts w:ascii="Times New Roman" w:eastAsiaTheme="majorEastAsia" w:hAnsi="Times New Roman" w:cs="Times New Roman" w:hint="eastAsia"/>
              </w:rPr>
              <w:t>及</w:t>
            </w:r>
            <w:r>
              <w:rPr>
                <w:rFonts w:ascii="Times New Roman" w:eastAsiaTheme="majorEastAsia" w:hAnsi="Times New Roman" w:cs="Times New Roman"/>
              </w:rPr>
              <w:t>身份证；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陈明水</w:t>
            </w:r>
            <w:r>
              <w:rPr>
                <w:rFonts w:ascii="Times New Roman" w:eastAsiaTheme="majorEastAsia" w:hAnsi="Times New Roman" w:cs="Times New Roman"/>
              </w:rPr>
              <w:t>与贾绍连</w:t>
            </w:r>
            <w:r>
              <w:rPr>
                <w:rFonts w:ascii="Times New Roman" w:eastAsiaTheme="majorEastAsia" w:hAnsi="Times New Roman" w:cs="Times New Roman" w:hint="eastAsia"/>
              </w:rPr>
              <w:t>短信</w:t>
            </w:r>
            <w:r>
              <w:rPr>
                <w:rFonts w:ascii="Times New Roman" w:eastAsiaTheme="majorEastAsia" w:hAnsi="Times New Roman" w:cs="Times New Roman"/>
              </w:rPr>
              <w:t>记录；</w:t>
            </w:r>
          </w:p>
          <w:p w:rsidR="008E2473" w:rsidRPr="00163C80" w:rsidRDefault="008E2473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撤销仲裁裁决申请书》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D76EFA" w:rsidRDefault="007F2AD6" w:rsidP="00D76EFA">
            <w:pPr>
              <w:rPr>
                <w:rFonts w:ascii="Times New Roman" w:eastAsiaTheme="majorEastAsia" w:hAnsi="Times New Roman" w:cs="Times New Roman" w:hint="eastAsia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D76EFA" w:rsidRPr="003B2742">
              <w:rPr>
                <w:rFonts w:ascii="Times New Roman" w:eastAsiaTheme="majorEastAsia" w:hAnsi="Times New Roman" w:cs="Times New Roman"/>
              </w:rPr>
              <w:t xml:space="preserve"> 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当事人</w:t>
            </w:r>
            <w:r w:rsidR="00A029A8">
              <w:rPr>
                <w:rFonts w:ascii="Times New Roman" w:eastAsiaTheme="majorEastAsia" w:hAnsi="Times New Roman" w:cs="Times New Roman"/>
              </w:rPr>
              <w:t>申请撤销仲裁的理由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很</w:t>
            </w:r>
            <w:r w:rsidR="00A029A8">
              <w:rPr>
                <w:rFonts w:ascii="Times New Roman" w:eastAsiaTheme="majorEastAsia" w:hAnsi="Times New Roman" w:cs="Times New Roman"/>
              </w:rPr>
              <w:t>牵强，风控风险较大。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第一项</w:t>
            </w:r>
            <w:r w:rsidR="00A029A8">
              <w:rPr>
                <w:rFonts w:ascii="Times New Roman" w:eastAsiaTheme="majorEastAsia" w:hAnsi="Times New Roman" w:cs="Times New Roman"/>
              </w:rPr>
              <w:t>，根据还款协议书第四条，仲裁机构对工程保证金还款协议书明确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约定</w:t>
            </w:r>
            <w:r w:rsidR="00A029A8">
              <w:rPr>
                <w:rFonts w:ascii="Times New Roman" w:eastAsiaTheme="majorEastAsia" w:hAnsi="Times New Roman" w:cs="Times New Roman"/>
              </w:rPr>
              <w:t>由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福州</w:t>
            </w:r>
            <w:r w:rsidR="00A029A8">
              <w:rPr>
                <w:rFonts w:ascii="Times New Roman" w:eastAsiaTheme="majorEastAsia" w:hAnsi="Times New Roman" w:cs="Times New Roman"/>
              </w:rPr>
              <w:t>仲裁委仲裁，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还款</w:t>
            </w:r>
            <w:r w:rsidR="00A029A8">
              <w:rPr>
                <w:rFonts w:ascii="Times New Roman" w:eastAsiaTheme="majorEastAsia" w:hAnsi="Times New Roman" w:cs="Times New Roman"/>
              </w:rPr>
              <w:t>协议书实际上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是</w:t>
            </w:r>
            <w:r w:rsidR="00A029A8">
              <w:rPr>
                <w:rFonts w:ascii="Times New Roman" w:eastAsiaTheme="majorEastAsia" w:hAnsi="Times New Roman" w:cs="Times New Roman"/>
              </w:rPr>
              <w:t>对合作协议书的一个补充或者后续事宜的安排，二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个</w:t>
            </w:r>
            <w:r w:rsidR="00A029A8">
              <w:rPr>
                <w:rFonts w:ascii="Times New Roman" w:eastAsiaTheme="majorEastAsia" w:hAnsi="Times New Roman" w:cs="Times New Roman"/>
              </w:rPr>
              <w:t>协议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存在牵连关系</w:t>
            </w:r>
            <w:r w:rsidR="00A029A8">
              <w:rPr>
                <w:rFonts w:ascii="Times New Roman" w:eastAsiaTheme="majorEastAsia" w:hAnsi="Times New Roman" w:cs="Times New Roman"/>
              </w:rPr>
              <w:t>，所以不存在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超裁</w:t>
            </w:r>
            <w:r w:rsidR="00A029A8">
              <w:rPr>
                <w:rFonts w:ascii="Times New Roman" w:eastAsiaTheme="majorEastAsia" w:hAnsi="Times New Roman" w:cs="Times New Roman"/>
              </w:rPr>
              <w:t>应当撤销的情形。第二项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，</w:t>
            </w:r>
            <w:r w:rsidR="00A029A8">
              <w:rPr>
                <w:rFonts w:ascii="Times New Roman" w:eastAsiaTheme="majorEastAsia" w:hAnsi="Times New Roman" w:cs="Times New Roman"/>
              </w:rPr>
              <w:t>还款协议书第八条明确约定，甲乙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双方盖章</w:t>
            </w:r>
            <w:r w:rsidR="00A029A8">
              <w:rPr>
                <w:rFonts w:ascii="Times New Roman" w:eastAsiaTheme="majorEastAsia" w:hAnsi="Times New Roman" w:cs="Times New Roman"/>
              </w:rPr>
              <w:t>就生效，说合同没生效并无道理。第三人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实际</w:t>
            </w:r>
            <w:r w:rsidR="00A029A8">
              <w:rPr>
                <w:rFonts w:ascii="Times New Roman" w:eastAsiaTheme="majorEastAsia" w:hAnsi="Times New Roman" w:cs="Times New Roman"/>
              </w:rPr>
              <w:t>并非合同当事人，是履行辅助人，所以不签字并不影响权利义务关系；第三项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理由</w:t>
            </w:r>
            <w:r w:rsidR="00A029A8">
              <w:rPr>
                <w:rFonts w:ascii="Times New Roman" w:eastAsiaTheme="majorEastAsia" w:hAnsi="Times New Roman" w:cs="Times New Roman"/>
              </w:rPr>
              <w:t>是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侵害</w:t>
            </w:r>
            <w:r w:rsidR="00A029A8">
              <w:rPr>
                <w:rFonts w:ascii="Times New Roman" w:eastAsiaTheme="majorEastAsia" w:hAnsi="Times New Roman" w:cs="Times New Roman"/>
              </w:rPr>
              <w:t>公共利益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而</w:t>
            </w:r>
            <w:r w:rsidR="00A029A8">
              <w:rPr>
                <w:rFonts w:ascii="Times New Roman" w:eastAsiaTheme="majorEastAsia" w:hAnsi="Times New Roman" w:cs="Times New Roman"/>
              </w:rPr>
              <w:t>申请撤销，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虽然</w:t>
            </w:r>
            <w:r w:rsidR="00A029A8">
              <w:rPr>
                <w:rFonts w:ascii="Times New Roman" w:eastAsiaTheme="majorEastAsia" w:hAnsi="Times New Roman" w:cs="Times New Roman"/>
              </w:rPr>
              <w:t>是国有企业，但是作为公司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制</w:t>
            </w:r>
            <w:r w:rsidR="00A029A8">
              <w:rPr>
                <w:rFonts w:ascii="Times New Roman" w:eastAsiaTheme="majorEastAsia" w:hAnsi="Times New Roman" w:cs="Times New Roman"/>
              </w:rPr>
              <w:t>的市场主体，与其他主体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参与交易</w:t>
            </w:r>
            <w:r w:rsidR="00A029A8">
              <w:rPr>
                <w:rFonts w:ascii="Times New Roman" w:eastAsiaTheme="majorEastAsia" w:hAnsi="Times New Roman" w:cs="Times New Roman"/>
              </w:rPr>
              <w:t>的风险应当一样</w:t>
            </w:r>
            <w:r w:rsidR="00A029A8">
              <w:rPr>
                <w:rFonts w:ascii="Times New Roman" w:eastAsiaTheme="majorEastAsia" w:hAnsi="Times New Roman" w:cs="Times New Roman" w:hint="eastAsia"/>
              </w:rPr>
              <w:t>，</w:t>
            </w:r>
            <w:r w:rsidR="00A029A8">
              <w:rPr>
                <w:rFonts w:ascii="Times New Roman" w:eastAsiaTheme="majorEastAsia" w:hAnsi="Times New Roman" w:cs="Times New Roman"/>
              </w:rPr>
              <w:t>法律也一视同仁，这个理由很牵强。</w:t>
            </w:r>
          </w:p>
          <w:p w:rsidR="00A029A8" w:rsidRPr="00A029A8" w:rsidRDefault="00A029A8" w:rsidP="00D76EFA">
            <w:pPr>
              <w:rPr>
                <w:rFonts w:ascii="Times New Roman" w:eastAsiaTheme="majorEastAsia" w:hAnsi="Times New Roman" w:cs="Times New Roman" w:hint="eastAsia"/>
              </w:rPr>
            </w:pPr>
            <w:bookmarkStart w:id="0" w:name="_GoBack"/>
            <w:bookmarkEnd w:id="0"/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  <w:r w:rsidR="00A029A8">
              <w:rPr>
                <w:rFonts w:ascii="Times New Roman" w:eastAsia="方正大标宋简体" w:hAnsi="Times New Roman" w:cs="Times New Roman" w:hint="eastAsia"/>
              </w:rPr>
              <w:t>邵波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="00A029A8">
              <w:rPr>
                <w:rFonts w:ascii="Times New Roman" w:eastAsia="方正大标宋简体" w:hAnsi="Times New Roman" w:cs="Times New Roman" w:hint="eastAsia"/>
              </w:rPr>
              <w:t>4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="00A029A8">
              <w:rPr>
                <w:rFonts w:ascii="Times New Roman" w:eastAsia="方正大标宋简体" w:hAnsi="Times New Roman" w:cs="Times New Roman" w:hint="eastAsia"/>
              </w:rPr>
              <w:t>21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4C2" w:rsidRDefault="00D834C2">
      <w:r>
        <w:separator/>
      </w:r>
    </w:p>
  </w:endnote>
  <w:endnote w:type="continuationSeparator" w:id="0">
    <w:p w:rsidR="00D834C2" w:rsidRDefault="00D8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7B5D7C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7B5D7C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4C2" w:rsidRDefault="00D834C2">
      <w:r>
        <w:separator/>
      </w:r>
    </w:p>
  </w:footnote>
  <w:footnote w:type="continuationSeparator" w:id="0">
    <w:p w:rsidR="00D834C2" w:rsidRDefault="00D83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F54E2"/>
    <w:multiLevelType w:val="hybridMultilevel"/>
    <w:tmpl w:val="ADA64AD2"/>
    <w:lvl w:ilvl="0" w:tplc="4718EFF2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7793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B5D7C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2473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029A8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76EFA"/>
    <w:rsid w:val="00D834C2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D14B2"/>
    <w:rsid w:val="00EE1134"/>
    <w:rsid w:val="00F327D3"/>
    <w:rsid w:val="00F634A1"/>
    <w:rsid w:val="00F96C3E"/>
    <w:rsid w:val="00FB2CF0"/>
    <w:rsid w:val="00FB5A83"/>
    <w:rsid w:val="00FC28DD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1CB1-C723-431E-B4EA-3FE9DB7B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qiancheng</cp:lastModifiedBy>
  <cp:revision>2</cp:revision>
  <cp:lastPrinted>2015-10-15T00:50:00Z</cp:lastPrinted>
  <dcterms:created xsi:type="dcterms:W3CDTF">2016-04-22T01:35:00Z</dcterms:created>
  <dcterms:modified xsi:type="dcterms:W3CDTF">2016-04-22T01:35:00Z</dcterms:modified>
</cp:coreProperties>
</file>