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367"/>
        <w:gridCol w:w="1324"/>
        <w:gridCol w:w="14"/>
        <w:gridCol w:w="1571"/>
        <w:gridCol w:w="1526"/>
        <w:gridCol w:w="2479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601E10" w:rsidP="00601E10">
            <w:pPr>
              <w:jc w:val="center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601E10">
              <w:rPr>
                <w:rFonts w:ascii="Times New Roman" w:eastAsiaTheme="majorEastAsia" w:hAnsi="Times New Roman" w:cs="Times New Roman" w:hint="eastAsia"/>
              </w:rPr>
              <w:t>马萍北京</w:t>
            </w:r>
            <w:proofErr w:type="gramEnd"/>
            <w:r w:rsidRPr="00601E10">
              <w:rPr>
                <w:rFonts w:ascii="Times New Roman" w:eastAsiaTheme="majorEastAsia" w:hAnsi="Times New Roman" w:cs="Times New Roman" w:hint="eastAsia"/>
              </w:rPr>
              <w:t>高院申诉案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B02F33" w:rsidP="00601E10">
            <w:pPr>
              <w:ind w:firstLineChars="1850" w:firstLine="3885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 w:rsidR="00E165E7">
              <w:rPr>
                <w:rFonts w:ascii="Times New Roman" w:eastAsiaTheme="majorEastAsia" w:hAnsi="Times New Roman" w:cs="Times New Roman" w:hint="eastAsia"/>
              </w:rPr>
              <w:t>（</w:t>
            </w:r>
            <w:r w:rsidR="00E165E7">
              <w:rPr>
                <w:rFonts w:ascii="Times New Roman" w:eastAsiaTheme="majorEastAsia" w:hAnsi="Times New Roman" w:cs="Times New Roman"/>
              </w:rPr>
              <w:t>澳大利亚籍）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37037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B02F33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E41D18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张新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E41D18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 w:hint="eastAsia"/>
                <w:color w:val="555555"/>
                <w:szCs w:val="21"/>
                <w:shd w:val="clear" w:color="auto" w:fill="FFFFFF"/>
              </w:rPr>
              <w:t>17710875740</w:t>
            </w: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601E10" w:rsidP="00C364E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北京二中院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B02F33" w:rsidP="00E41D1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拿回</w:t>
            </w:r>
            <w:r>
              <w:rPr>
                <w:rFonts w:asciiTheme="minorEastAsia" w:hAnsiTheme="minorEastAsia"/>
                <w:color w:val="000000"/>
                <w:szCs w:val="21"/>
              </w:rPr>
              <w:t>财产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3A5984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1045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601E10" w:rsidRDefault="004F188A" w:rsidP="004B5C7A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601E10">
              <w:rPr>
                <w:rFonts w:asciiTheme="minorEastAsia" w:hAnsiTheme="minorEastAsia"/>
                <w:color w:val="000000"/>
                <w:szCs w:val="21"/>
              </w:rPr>
              <w:t>目前案情</w:t>
            </w:r>
            <w:r w:rsidR="004B5C7A" w:rsidRPr="00601E10">
              <w:rPr>
                <w:rFonts w:asciiTheme="minorEastAsia" w:hAnsiTheme="minorEastAsia"/>
                <w:color w:val="000000"/>
                <w:szCs w:val="21"/>
              </w:rPr>
              <w:br/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601E10" w:rsidRPr="00601E10" w:rsidRDefault="00601E10" w:rsidP="00601E10">
            <w:pPr>
              <w:widowControl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北京二中院2002</w:t>
            </w:r>
            <w:proofErr w:type="gramStart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二</w:t>
            </w:r>
            <w:proofErr w:type="gramEnd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中刑初字444号裁定：</w:t>
            </w:r>
            <w:proofErr w:type="gramStart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追缴马萍</w:t>
            </w:r>
            <w:proofErr w:type="gramEnd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1045.8万元。马平认为该裁定系错误裁定。欲通过申诉途径实现二中院返还财产的目的。 初级市场分析师意见：</w:t>
            </w:r>
            <w:proofErr w:type="gramStart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马萍与</w:t>
            </w:r>
            <w:proofErr w:type="gramEnd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朱江借贷关系证据薄弱，难以被司法机关采信，马萍的相关期望实现难度很大，</w:t>
            </w:r>
            <w:proofErr w:type="gramStart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请风控审核</w:t>
            </w:r>
            <w:proofErr w:type="gramEnd"/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  <w:p w:rsidR="00B02F33" w:rsidRPr="00601E10" w:rsidRDefault="00B02F33" w:rsidP="00B02F33">
            <w:pPr>
              <w:ind w:firstLineChars="200" w:firstLine="420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05AA4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刑初</w:t>
            </w:r>
            <w:r>
              <w:rPr>
                <w:rFonts w:ascii="Times New Roman" w:eastAsiaTheme="majorEastAsia" w:hAnsi="Times New Roman" w:cs="Times New Roman"/>
              </w:rPr>
              <w:t>第</w:t>
            </w:r>
            <w:r>
              <w:rPr>
                <w:rFonts w:ascii="Times New Roman" w:eastAsiaTheme="majorEastAsia" w:hAnsi="Times New Roman" w:cs="Times New Roman" w:hint="eastAsia"/>
              </w:rPr>
              <w:t>444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裁定书</w:t>
            </w:r>
            <w:r w:rsidR="005B313D">
              <w:rPr>
                <w:rFonts w:ascii="Times New Roman" w:eastAsiaTheme="majorEastAsia" w:hAnsi="Times New Roman" w:cs="Times New Roman"/>
              </w:rPr>
              <w:t>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高刑终字</w:t>
            </w:r>
            <w:r>
              <w:rPr>
                <w:rFonts w:ascii="Times New Roman" w:eastAsiaTheme="majorEastAsia" w:hAnsi="Times New Roman" w:cs="Times New Roman"/>
              </w:rPr>
              <w:t>第</w:t>
            </w:r>
            <w:r>
              <w:rPr>
                <w:rFonts w:ascii="Times New Roman" w:eastAsiaTheme="majorEastAsia" w:hAnsi="Times New Roman" w:cs="Times New Roman" w:hint="eastAsia"/>
              </w:rPr>
              <w:t>117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裁定书；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借款协议</w:t>
            </w:r>
            <w:r>
              <w:rPr>
                <w:rFonts w:ascii="Times New Roman" w:eastAsiaTheme="majorEastAsia" w:hAnsi="Times New Roman" w:cs="Times New Roman"/>
              </w:rPr>
              <w:t>、收据、转账记录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1045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经过及金额明细单；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案件</w:t>
            </w:r>
            <w:r>
              <w:rPr>
                <w:rFonts w:ascii="Times New Roman" w:eastAsiaTheme="majorEastAsia" w:hAnsi="Times New Roman" w:cs="Times New Roman"/>
              </w:rPr>
              <w:t>有关人员笔录。</w:t>
            </w:r>
          </w:p>
          <w:p w:rsidR="00E165E7" w:rsidRP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proofErr w:type="gramStart"/>
            <w:r w:rsidRPr="00E27CA6">
              <w:rPr>
                <w:rFonts w:ascii="Times New Roman" w:eastAsia="方正大标宋简体" w:hAnsi="Times New Roman" w:cs="Times New Roman"/>
                <w:sz w:val="28"/>
              </w:rPr>
              <w:lastRenderedPageBreak/>
              <w:t>风控部</w:t>
            </w:r>
            <w:proofErr w:type="gramEnd"/>
            <w:r w:rsidRPr="00E27CA6">
              <w:rPr>
                <w:rFonts w:ascii="Times New Roman" w:eastAsia="方正大标宋简体" w:hAnsi="Times New Roman" w:cs="Times New Roman"/>
                <w:sz w:val="28"/>
              </w:rPr>
              <w:t>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B02F33" w:rsidRPr="003B2742" w:rsidRDefault="007F2AD6" w:rsidP="00B02F33">
            <w:pPr>
              <w:rPr>
                <w:rFonts w:ascii="Times New Roman" w:eastAsiaTheme="majorEastAsia" w:hAnsi="Times New Roman" w:cs="Times New Roman" w:hint="eastAsia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C36873">
              <w:rPr>
                <w:rFonts w:ascii="Times New Roman" w:eastAsiaTheme="majorEastAsia" w:hAnsi="Times New Roman" w:cs="Times New Roman" w:hint="eastAsia"/>
              </w:rPr>
              <w:t>不通过</w:t>
            </w:r>
          </w:p>
          <w:p w:rsidR="00A74D0A" w:rsidRPr="003B2742" w:rsidRDefault="00C36873" w:rsidP="00C65898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客户诉求</w:t>
            </w:r>
            <w:r>
              <w:rPr>
                <w:rFonts w:ascii="Times New Roman" w:eastAsiaTheme="majorEastAsia" w:hAnsi="Times New Roman" w:cs="Times New Roman"/>
              </w:rPr>
              <w:t>包括两个部分，一部分是</w:t>
            </w:r>
            <w:r>
              <w:rPr>
                <w:rFonts w:ascii="Times New Roman" w:eastAsiaTheme="majorEastAsia" w:hAnsi="Times New Roman" w:cs="Times New Roman" w:hint="eastAsia"/>
              </w:rPr>
              <w:t>1272</w:t>
            </w:r>
            <w:r>
              <w:rPr>
                <w:rFonts w:ascii="Times New Roman" w:eastAsiaTheme="majorEastAsia" w:hAnsi="Times New Roman" w:cs="Times New Roman" w:hint="eastAsia"/>
              </w:rPr>
              <w:t>万元利息</w:t>
            </w:r>
            <w:r>
              <w:rPr>
                <w:rFonts w:ascii="Times New Roman" w:eastAsiaTheme="majorEastAsia" w:hAnsi="Times New Roman" w:cs="Times New Roman"/>
              </w:rPr>
              <w:t>，该部分</w:t>
            </w: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>
              <w:rPr>
                <w:rFonts w:ascii="Times New Roman" w:eastAsiaTheme="majorEastAsia" w:hAnsi="Times New Roman" w:cs="Times New Roman"/>
              </w:rPr>
              <w:t>另案</w:t>
            </w:r>
            <w:r>
              <w:rPr>
                <w:rFonts w:ascii="Times New Roman" w:eastAsiaTheme="majorEastAsia" w:hAnsi="Times New Roman" w:cs="Times New Roman" w:hint="eastAsia"/>
              </w:rPr>
              <w:t>中</w:t>
            </w:r>
            <w:r>
              <w:rPr>
                <w:rFonts w:ascii="Times New Roman" w:eastAsiaTheme="majorEastAsia" w:hAnsi="Times New Roman" w:cs="Times New Roman"/>
              </w:rPr>
              <w:t>被认定为犯罪所得，故退赔</w:t>
            </w:r>
            <w:r>
              <w:rPr>
                <w:rFonts w:ascii="Times New Roman" w:eastAsiaTheme="majorEastAsia" w:hAnsi="Times New Roman" w:cs="Times New Roman" w:hint="eastAsia"/>
              </w:rPr>
              <w:t>中国</w:t>
            </w:r>
            <w:r>
              <w:rPr>
                <w:rFonts w:ascii="Times New Roman" w:eastAsiaTheme="majorEastAsia" w:hAnsi="Times New Roman" w:cs="Times New Roman"/>
              </w:rPr>
              <w:t>银行天津分行</w:t>
            </w:r>
            <w:r>
              <w:rPr>
                <w:rFonts w:ascii="Times New Roman" w:eastAsiaTheme="majorEastAsia" w:hAnsi="Times New Roman" w:cs="Times New Roman" w:hint="eastAsia"/>
              </w:rPr>
              <w:t>，</w:t>
            </w:r>
            <w:r>
              <w:rPr>
                <w:rFonts w:ascii="Times New Roman" w:eastAsiaTheme="majorEastAsia" w:hAnsi="Times New Roman" w:cs="Times New Roman"/>
              </w:rPr>
              <w:t>在</w:t>
            </w:r>
            <w:bookmarkStart w:id="0" w:name="_GoBack"/>
            <w:bookmarkEnd w:id="0"/>
            <w:r>
              <w:rPr>
                <w:rFonts w:ascii="Times New Roman" w:eastAsiaTheme="majorEastAsia" w:hAnsi="Times New Roman" w:cs="Times New Roman"/>
              </w:rPr>
              <w:t>性质上存在争议且</w:t>
            </w:r>
            <w:r>
              <w:rPr>
                <w:rFonts w:ascii="Times New Roman" w:eastAsiaTheme="majorEastAsia" w:hAnsi="Times New Roman" w:cs="Times New Roman" w:hint="eastAsia"/>
              </w:rPr>
              <w:t>长期通过</w:t>
            </w:r>
            <w:r>
              <w:rPr>
                <w:rFonts w:ascii="Times New Roman" w:eastAsiaTheme="majorEastAsia" w:hAnsi="Times New Roman" w:cs="Times New Roman"/>
              </w:rPr>
              <w:t>多种渠道争取均未能达到客户目标，风险较大；另一部分</w:t>
            </w:r>
            <w:r>
              <w:rPr>
                <w:rFonts w:ascii="Times New Roman" w:eastAsiaTheme="majorEastAsia" w:hAnsi="Times New Roman" w:cs="Times New Roman"/>
              </w:rPr>
              <w:t>1045</w:t>
            </w:r>
            <w:r>
              <w:rPr>
                <w:rFonts w:ascii="Times New Roman" w:eastAsiaTheme="majorEastAsia" w:hAnsi="Times New Roman" w:cs="Times New Roman" w:hint="eastAsia"/>
              </w:rPr>
              <w:t>万元</w:t>
            </w:r>
            <w:r>
              <w:rPr>
                <w:rFonts w:ascii="Times New Roman" w:eastAsiaTheme="majorEastAsia" w:hAnsi="Times New Roman" w:cs="Times New Roman"/>
              </w:rPr>
              <w:t>，</w:t>
            </w:r>
            <w:r>
              <w:rPr>
                <w:rFonts w:ascii="Times New Roman" w:eastAsiaTheme="majorEastAsia" w:hAnsi="Times New Roman" w:cs="Times New Roman" w:hint="eastAsia"/>
              </w:rPr>
              <w:t>同样</w:t>
            </w:r>
            <w:r>
              <w:rPr>
                <w:rFonts w:ascii="Times New Roman" w:eastAsiaTheme="majorEastAsia" w:hAnsi="Times New Roman" w:cs="Times New Roman"/>
              </w:rPr>
              <w:t>被另案认定为犯罪所得，退赔中国银行。客户主张为借款，但是从客户提供的证据看，</w:t>
            </w:r>
            <w:r>
              <w:rPr>
                <w:rFonts w:ascii="Times New Roman" w:eastAsiaTheme="majorEastAsia" w:hAnsi="Times New Roman" w:cs="Times New Roman" w:hint="eastAsia"/>
              </w:rPr>
              <w:t>无法</w:t>
            </w:r>
            <w:r>
              <w:rPr>
                <w:rFonts w:ascii="Times New Roman" w:eastAsiaTheme="majorEastAsia" w:hAnsi="Times New Roman" w:cs="Times New Roman"/>
              </w:rPr>
              <w:t>证明</w:t>
            </w:r>
            <w:r>
              <w:rPr>
                <w:rFonts w:ascii="Times New Roman" w:eastAsiaTheme="majorEastAsia" w:hAnsi="Times New Roman" w:cs="Times New Roman" w:hint="eastAsia"/>
              </w:rPr>
              <w:t>借贷法律</w:t>
            </w:r>
            <w:r>
              <w:rPr>
                <w:rFonts w:ascii="Times New Roman" w:eastAsiaTheme="majorEastAsia" w:hAnsi="Times New Roman" w:cs="Times New Roman"/>
              </w:rPr>
              <w:t>关系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>
              <w:rPr>
                <w:rFonts w:ascii="Times New Roman" w:eastAsiaTheme="majorEastAsia" w:hAnsi="Times New Roman" w:cs="Times New Roman"/>
              </w:rPr>
              <w:t>存在，</w:t>
            </w:r>
            <w:r>
              <w:rPr>
                <w:rFonts w:ascii="Times New Roman" w:eastAsiaTheme="majorEastAsia" w:hAnsi="Times New Roman" w:cs="Times New Roman" w:hint="eastAsia"/>
              </w:rPr>
              <w:t>风险</w:t>
            </w:r>
            <w:r>
              <w:rPr>
                <w:rFonts w:ascii="Times New Roman" w:eastAsiaTheme="majorEastAsia" w:hAnsi="Times New Roman" w:cs="Times New Roman"/>
              </w:rPr>
              <w:t>较大。</w:t>
            </w: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  <w:r w:rsidR="00C36873">
              <w:rPr>
                <w:rFonts w:ascii="Times New Roman" w:eastAsia="方正大标宋简体" w:hAnsi="Times New Roman" w:cs="Times New Roman" w:hint="eastAsia"/>
              </w:rPr>
              <w:t>邵波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</w:t>
            </w:r>
            <w:r w:rsidR="00C36873">
              <w:rPr>
                <w:rFonts w:ascii="Times New Roman" w:eastAsia="方正大标宋简体" w:hAnsi="Times New Roman" w:cs="Times New Roman" w:hint="eastAsia"/>
              </w:rPr>
              <w:t>5</w:t>
            </w:r>
            <w:r w:rsidRPr="00E27CA6">
              <w:rPr>
                <w:rFonts w:ascii="Times New Roman" w:eastAsia="方正大标宋简体" w:hAnsi="Times New Roman" w:cs="Times New Roman"/>
              </w:rPr>
              <w:t>月</w:t>
            </w:r>
            <w:r w:rsidR="00C36873">
              <w:rPr>
                <w:rFonts w:ascii="Times New Roman" w:eastAsia="方正大标宋简体" w:hAnsi="Times New Roman" w:cs="Times New Roman" w:hint="eastAsia"/>
              </w:rPr>
              <w:t>11</w:t>
            </w:r>
            <w:r w:rsidRPr="00E27CA6">
              <w:rPr>
                <w:rFonts w:ascii="Times New Roman" w:eastAsia="方正大标宋简体" w:hAnsi="Times New Roman" w:cs="Times New Roman"/>
              </w:rPr>
              <w:t>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C5" w:rsidRDefault="00FF73C5">
      <w:r>
        <w:separator/>
      </w:r>
    </w:p>
  </w:endnote>
  <w:endnote w:type="continuationSeparator" w:id="0">
    <w:p w:rsidR="00FF73C5" w:rsidRDefault="00FF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C36873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C36873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C5" w:rsidRDefault="00FF73C5">
      <w:r>
        <w:separator/>
      </w:r>
    </w:p>
  </w:footnote>
  <w:footnote w:type="continuationSeparator" w:id="0">
    <w:p w:rsidR="00FF73C5" w:rsidRDefault="00FF7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628D3"/>
    <w:rsid w:val="00163C80"/>
    <w:rsid w:val="00180ECD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A5984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7034F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313D"/>
    <w:rsid w:val="005B7DFA"/>
    <w:rsid w:val="005C6714"/>
    <w:rsid w:val="005D6798"/>
    <w:rsid w:val="005E0A17"/>
    <w:rsid w:val="005E74A9"/>
    <w:rsid w:val="006002DD"/>
    <w:rsid w:val="00601E10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02F33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36873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165E7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E1134"/>
    <w:rsid w:val="00F327D3"/>
    <w:rsid w:val="00F634A1"/>
    <w:rsid w:val="00F96C3E"/>
    <w:rsid w:val="00FB2CF0"/>
    <w:rsid w:val="00FB5A83"/>
    <w:rsid w:val="00FD09CA"/>
    <w:rsid w:val="00FD6B8A"/>
    <w:rsid w:val="00FE1FBF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3343-BE8D-4291-804F-E90CF124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4</TotalTime>
  <Pages>2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qiancheng</cp:lastModifiedBy>
  <cp:revision>3</cp:revision>
  <cp:lastPrinted>2015-10-15T00:50:00Z</cp:lastPrinted>
  <dcterms:created xsi:type="dcterms:W3CDTF">2016-05-11T09:32:00Z</dcterms:created>
  <dcterms:modified xsi:type="dcterms:W3CDTF">2009-01-01T18:08:00Z</dcterms:modified>
</cp:coreProperties>
</file>