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70CB3">
      <w:pPr>
        <w:spacing w:before="240"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本发明公开了</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属于</w:t>
      </w:r>
      <w:r>
        <w:rPr>
          <w:rFonts w:hint="eastAsia" w:ascii="Times New Roman" w:hAnsi="Times New Roman" w:cs="Times New Roman"/>
          <w:sz w:val="28"/>
          <w:szCs w:val="28"/>
        </w:rPr>
        <w:t>自然语言处理标准化技术</w:t>
      </w:r>
      <w:r>
        <w:rPr>
          <w:rFonts w:ascii="Times New Roman" w:hAnsi="Times New Roman" w:cs="Times New Roman"/>
          <w:sz w:val="28"/>
          <w:szCs w:val="28"/>
        </w:rPr>
        <w:t>领域</w:t>
      </w:r>
      <w:r>
        <w:rPr>
          <w:rFonts w:hint="eastAsia" w:ascii="Times New Roman" w:hAnsi="Times New Roman" w:cs="Times New Roman"/>
          <w:sz w:val="28"/>
          <w:szCs w:val="28"/>
        </w:rPr>
        <w:t>，方法包括获取患者临床数据，对患者临床数据进行结构化整理，生成结构化资料；将结构化资料输入LLM，输出核心问题陈述、紧急问题清单和核心问题清单；基于核心问题陈述、紧急问题清单和核心问题清单，采用分层-展开策略，先按病因机制归类，再逐类展开具体诊断假设；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，生成每个假设的原子化断言清单，整理生成临床诊断推理结果。通过认知任务分解和认知负载控制，将复杂诊断任务拆解为</w:t>
      </w:r>
      <w:r>
        <w:rPr>
          <w:rFonts w:ascii="Times New Roman" w:hAnsi="Times New Roman" w:cs="Times New Roman"/>
          <w:sz w:val="28"/>
          <w:szCs w:val="28"/>
        </w:rPr>
        <w:t>4</w:t>
      </w:r>
      <w:r>
        <w:rPr>
          <w:rFonts w:hint="eastAsia" w:ascii="Times New Roman" w:hAnsi="Times New Roman" w:cs="Times New Roman"/>
          <w:sz w:val="28"/>
          <w:szCs w:val="28"/>
        </w:rPr>
        <w:t>个独立认知子步骤，大幅降低了LLM在每一步的推理复杂度，使LLM在医疗诊断这一高精度要求领域中的推理准确率显著提升。</w:t>
      </w:r>
    </w:p>
    <w:p w14:paraId="5E15EDDD">
      <w:pPr>
        <w:spacing w:before="240" w:line="480" w:lineRule="auto"/>
        <w:ind w:firstLine="560" w:firstLineChars="200"/>
        <w:rPr>
          <w:rFonts w:ascii="Times New Roman" w:hAnsi="Times New Roman" w:cs="Times New Roman"/>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18" w:right="851" w:bottom="851" w:left="1418" w:header="851" w:footer="227" w:gutter="0"/>
          <w:cols w:space="425" w:num="1"/>
          <w:titlePg/>
          <w:docGrid w:type="lines" w:linePitch="312" w:charSpace="0"/>
        </w:sectPr>
      </w:pPr>
    </w:p>
    <w:p w14:paraId="453F1C94">
      <w:pPr>
        <w:spacing w:line="480" w:lineRule="auto"/>
        <w:jc w:val="center"/>
        <w:rPr>
          <w:rFonts w:ascii="Times New Roman" w:hAnsi="Times New Roman" w:cs="Times New Roman"/>
          <w:sz w:val="28"/>
          <w:szCs w:val="28"/>
        </w:rPr>
      </w:pPr>
      <w:r>
        <w:object>
          <v:shape id="_x0000_i1025" o:spt="75" type="#_x0000_t75" style="height:430.5pt;width:481.5pt;" o:ole="t" filled="f" o:preferrelative="t" stroked="f" coordsize="21600,21600">
            <v:path/>
            <v:fill on="f" focussize="0,0"/>
            <v:stroke on="f" joinstyle="miter"/>
            <v:imagedata r:id="rId21" o:title=""/>
            <o:lock v:ext="edit" aspectratio="t"/>
            <w10:wrap type="none"/>
            <w10:anchorlock/>
          </v:shape>
          <o:OLEObject Type="Embed" ProgID="Visio.Drawing.15" ShapeID="_x0000_i1025" DrawAspect="Content" ObjectID="_1468075725" r:id="rId20">
            <o:LockedField>false</o:LockedField>
          </o:OLEObject>
        </w:object>
      </w:r>
    </w:p>
    <w:p w14:paraId="2138467D">
      <w:pPr>
        <w:spacing w:line="480" w:lineRule="auto"/>
        <w:jc w:val="center"/>
        <w:rPr>
          <w:rFonts w:ascii="Times New Roman" w:hAnsi="Times New Roman" w:cs="Times New Roman"/>
          <w:sz w:val="28"/>
          <w:szCs w:val="28"/>
        </w:rPr>
        <w:sectPr>
          <w:headerReference r:id="rId11" w:type="default"/>
          <w:footerReference r:id="rId12" w:type="default"/>
          <w:pgSz w:w="11906" w:h="16838"/>
          <w:pgMar w:top="1418" w:right="851" w:bottom="851" w:left="1418" w:header="851" w:footer="227" w:gutter="0"/>
          <w:cols w:space="425" w:num="1"/>
          <w:docGrid w:type="lines" w:linePitch="312" w:charSpace="0"/>
        </w:sectPr>
      </w:pPr>
    </w:p>
    <w:p w14:paraId="06F4F265">
      <w:pPr>
        <w:spacing w:before="240"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1.</w:t>
      </w:r>
      <w:r>
        <w:rPr>
          <w:rFonts w:hint="eastAsia" w:ascii="Times New Roman" w:hAnsi="Times New Roman" w:cs="Times New Roman"/>
          <w:sz w:val="28"/>
          <w:szCs w:val="28"/>
        </w:rPr>
        <w:t>一种基于大模型的临床诊断逻辑推理方法，其特征在于，包括以下步骤：</w:t>
      </w:r>
    </w:p>
    <w:p w14:paraId="63EBF24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6DBA80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2</w:t>
      </w:r>
      <w:r>
        <w:rPr>
          <w:rFonts w:hint="eastAsia" w:ascii="Times New Roman" w:hAnsi="Times New Roman" w:cs="Times New Roman"/>
          <w:sz w:val="28"/>
          <w:szCs w:val="28"/>
        </w:rPr>
        <w:t>、将结构化资料输入LLM，输出核心问题陈述、紧急问题清单和核心问题清单；</w:t>
      </w:r>
    </w:p>
    <w:p w14:paraId="26E3B87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092842B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46E62C46">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2.根据权利要求1所述的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1</w:t>
      </w:r>
      <w:r>
        <w:rPr>
          <w:rFonts w:hint="eastAsia" w:ascii="Times New Roman" w:hAnsi="Times New Roman" w:cs="Times New Roman"/>
          <w:sz w:val="28"/>
          <w:szCs w:val="28"/>
        </w:rPr>
        <w:t>中，患者临床数据包括：患者基本信息、现病史、既往史、体格检查、辅助检查、入院记录、病程记录、手术记录和会诊记录。</w:t>
      </w:r>
    </w:p>
    <w:p w14:paraId="4DA3F20F">
      <w:pPr>
        <w:spacing w:line="480" w:lineRule="auto"/>
        <w:ind w:firstLine="556"/>
        <w:rPr>
          <w:rFonts w:ascii="Times New Roman" w:hAnsi="Times New Roman" w:cs="Times New Roman"/>
          <w:sz w:val="28"/>
          <w:szCs w:val="28"/>
        </w:rPr>
      </w:pPr>
      <w:r>
        <w:rPr>
          <w:rFonts w:ascii="Times New Roman" w:hAnsi="Times New Roman" w:cs="Times New Roman"/>
          <w:sz w:val="28"/>
          <w:szCs w:val="28"/>
        </w:rPr>
        <w:t>3.根据权利要求1所述的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2</w:t>
      </w:r>
      <w:r>
        <w:rPr>
          <w:rFonts w:hint="eastAsia" w:ascii="Times New Roman" w:hAnsi="Times New Roman" w:cs="Times New Roman"/>
          <w:sz w:val="28"/>
          <w:szCs w:val="28"/>
        </w:rPr>
        <w:t>具体为：</w:t>
      </w:r>
    </w:p>
    <w:p w14:paraId="2589FD9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将结构化资料输入LLM，</w:t>
      </w:r>
      <w:r>
        <w:rPr>
          <w:rFonts w:ascii="Times New Roman" w:hAnsi="Times New Roman" w:cs="Times New Roman"/>
          <w:sz w:val="28"/>
          <w:szCs w:val="28"/>
        </w:rPr>
        <w:t>对患者临床信息进行提炼和抽象化</w:t>
      </w:r>
      <w:r>
        <w:rPr>
          <w:rFonts w:hint="eastAsia" w:ascii="Times New Roman" w:hAnsi="Times New Roman" w:cs="Times New Roman"/>
          <w:sz w:val="28"/>
          <w:szCs w:val="28"/>
        </w:rPr>
        <w:t>后</w:t>
      </w:r>
      <w:r>
        <w:rPr>
          <w:rFonts w:ascii="Times New Roman" w:hAnsi="Times New Roman" w:cs="Times New Roman"/>
          <w:sz w:val="28"/>
          <w:szCs w:val="28"/>
        </w:rPr>
        <w:t>形成诊断问题陈述</w:t>
      </w:r>
      <w:r>
        <w:rPr>
          <w:rFonts w:hint="eastAsia" w:ascii="Times New Roman" w:hAnsi="Times New Roman" w:cs="Times New Roman"/>
          <w:sz w:val="28"/>
          <w:szCs w:val="28"/>
        </w:rPr>
        <w:t>，根据</w:t>
      </w:r>
      <w:r>
        <w:rPr>
          <w:rFonts w:ascii="Times New Roman" w:hAnsi="Times New Roman" w:cs="Times New Roman"/>
          <w:sz w:val="28"/>
          <w:szCs w:val="28"/>
        </w:rPr>
        <w:t>三要素结构使用语义限定词将症状体征从日常语言翻译为医学专业语言，输出核心问题陈述、紧急问题清单和核心问题清单</w:t>
      </w:r>
      <w:r>
        <w:rPr>
          <w:rFonts w:hint="eastAsia" w:ascii="Times New Roman" w:hAnsi="Times New Roman" w:cs="Times New Roman"/>
          <w:sz w:val="28"/>
          <w:szCs w:val="28"/>
        </w:rPr>
        <w:t>；</w:t>
      </w:r>
    </w:p>
    <w:p w14:paraId="3B8EE267">
      <w:pPr>
        <w:spacing w:line="480" w:lineRule="auto"/>
        <w:ind w:firstLine="556"/>
        <w:rPr>
          <w:rFonts w:ascii="Times New Roman" w:hAnsi="Times New Roman" w:cs="Times New Roman"/>
          <w:sz w:val="28"/>
          <w:szCs w:val="28"/>
        </w:rPr>
      </w:pPr>
      <w:r>
        <w:rPr>
          <w:rFonts w:ascii="Times New Roman" w:hAnsi="Times New Roman" w:cs="Times New Roman"/>
          <w:sz w:val="28"/>
          <w:szCs w:val="28"/>
        </w:rPr>
        <w:t>核心问题陈述</w:t>
      </w:r>
      <w:r>
        <w:rPr>
          <w:rFonts w:hint="eastAsia" w:ascii="Times New Roman" w:hAnsi="Times New Roman" w:cs="Times New Roman"/>
          <w:sz w:val="28"/>
          <w:szCs w:val="28"/>
        </w:rPr>
        <w:t>用于</w:t>
      </w:r>
      <w:r>
        <w:rPr>
          <w:rFonts w:ascii="Times New Roman" w:hAnsi="Times New Roman" w:cs="Times New Roman"/>
          <w:sz w:val="28"/>
          <w:szCs w:val="28"/>
        </w:rPr>
        <w:t>从VINDICATE分类框架中选取适用的病因类别</w:t>
      </w:r>
      <w:r>
        <w:rPr>
          <w:rFonts w:hint="eastAsia" w:ascii="Times New Roman" w:hAnsi="Times New Roman" w:cs="Times New Roman"/>
          <w:sz w:val="28"/>
          <w:szCs w:val="28"/>
        </w:rPr>
        <w:t>；</w:t>
      </w:r>
    </w:p>
    <w:p w14:paraId="73906B59">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紧急问题清单</w:t>
      </w:r>
      <w:r>
        <w:rPr>
          <w:rFonts w:hint="eastAsia" w:ascii="Times New Roman" w:hAnsi="Times New Roman" w:cs="Times New Roman"/>
          <w:sz w:val="28"/>
          <w:szCs w:val="28"/>
        </w:rPr>
        <w:t>用于</w:t>
      </w:r>
      <w:r>
        <w:rPr>
          <w:rFonts w:ascii="Times New Roman" w:hAnsi="Times New Roman" w:cs="Times New Roman"/>
          <w:sz w:val="28"/>
          <w:szCs w:val="28"/>
        </w:rPr>
        <w:t>归类时强制包含危及生命的诊断类别</w:t>
      </w:r>
      <w:r>
        <w:rPr>
          <w:rFonts w:hint="eastAsia" w:ascii="Times New Roman" w:hAnsi="Times New Roman" w:cs="Times New Roman"/>
          <w:sz w:val="28"/>
          <w:szCs w:val="28"/>
        </w:rPr>
        <w:t>，</w:t>
      </w:r>
      <w:r>
        <w:rPr>
          <w:rFonts w:ascii="Times New Roman" w:hAnsi="Times New Roman" w:cs="Times New Roman"/>
          <w:sz w:val="28"/>
          <w:szCs w:val="28"/>
        </w:rPr>
        <w:t>并在假设生成中确保即使概率低的致命性疾病也必须列入假设列表</w:t>
      </w:r>
      <w:r>
        <w:rPr>
          <w:rFonts w:hint="eastAsia" w:ascii="Times New Roman" w:hAnsi="Times New Roman" w:cs="Times New Roman"/>
          <w:sz w:val="28"/>
          <w:szCs w:val="28"/>
        </w:rPr>
        <w:t>；</w:t>
      </w:r>
    </w:p>
    <w:p w14:paraId="06731EAF">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核心问题清单</w:t>
      </w:r>
      <w:r>
        <w:rPr>
          <w:rFonts w:hint="eastAsia" w:ascii="Times New Roman" w:hAnsi="Times New Roman" w:cs="Times New Roman"/>
          <w:sz w:val="28"/>
          <w:szCs w:val="28"/>
        </w:rPr>
        <w:t>用于在</w:t>
      </w:r>
      <w:r>
        <w:rPr>
          <w:rFonts w:ascii="Times New Roman" w:hAnsi="Times New Roman" w:cs="Times New Roman"/>
          <w:sz w:val="28"/>
          <w:szCs w:val="28"/>
        </w:rPr>
        <w:t>存在多个核心问题时，按照紧急程度</w:t>
      </w:r>
      <w:r>
        <w:rPr>
          <w:rFonts w:hint="eastAsia" w:ascii="Times New Roman" w:hAnsi="Times New Roman" w:cs="Times New Roman"/>
          <w:sz w:val="28"/>
          <w:szCs w:val="28"/>
        </w:rPr>
        <w:t>结合</w:t>
      </w:r>
      <w:r>
        <w:rPr>
          <w:rFonts w:ascii="Times New Roman" w:hAnsi="Times New Roman" w:cs="Times New Roman"/>
          <w:sz w:val="28"/>
          <w:szCs w:val="28"/>
        </w:rPr>
        <w:t>因果优先级排序，依次为每个核心问题触发独立的推理流程</w:t>
      </w:r>
      <w:r>
        <w:rPr>
          <w:rFonts w:hint="eastAsia" w:ascii="Times New Roman" w:hAnsi="Times New Roman" w:cs="Times New Roman"/>
          <w:sz w:val="28"/>
          <w:szCs w:val="28"/>
        </w:rPr>
        <w:t>。</w:t>
      </w:r>
    </w:p>
    <w:p w14:paraId="0DB2060E">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4.根据权利要求1所述的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3</w:t>
      </w:r>
      <w:r>
        <w:rPr>
          <w:rFonts w:hint="eastAsia" w:ascii="Times New Roman" w:hAnsi="Times New Roman" w:cs="Times New Roman"/>
          <w:sz w:val="28"/>
          <w:szCs w:val="28"/>
        </w:rPr>
        <w:t>包括以下分步骤：</w:t>
      </w:r>
    </w:p>
    <w:p w14:paraId="019F10A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31</w:t>
      </w:r>
      <w:r>
        <w:rPr>
          <w:rFonts w:hint="eastAsia" w:ascii="Times New Roman" w:hAnsi="Times New Roman" w:cs="Times New Roman"/>
          <w:sz w:val="28"/>
          <w:szCs w:val="28"/>
        </w:rPr>
        <w:t>、归类：将</w:t>
      </w:r>
      <w:r>
        <w:rPr>
          <w:rFonts w:ascii="Times New Roman" w:hAnsi="Times New Roman" w:cs="Times New Roman"/>
          <w:bCs/>
          <w:sz w:val="28"/>
          <w:szCs w:val="28"/>
        </w:rPr>
        <w:t>核心问题陈述</w:t>
      </w:r>
      <w:r>
        <w:rPr>
          <w:rFonts w:hint="eastAsia" w:ascii="Times New Roman" w:hAnsi="Times New Roman" w:cs="Times New Roman"/>
          <w:bCs/>
          <w:sz w:val="28"/>
          <w:szCs w:val="28"/>
        </w:rPr>
        <w:t>输入</w:t>
      </w:r>
      <w:r>
        <w:rPr>
          <w:rFonts w:hint="eastAsia" w:ascii="Times New Roman" w:hAnsi="Times New Roman" w:cs="Times New Roman"/>
          <w:sz w:val="28"/>
          <w:szCs w:val="28"/>
        </w:rPr>
        <w:t>LLM，结合患者临床数据从VINDICATE分类框架中选取适用</w:t>
      </w:r>
      <w:r>
        <w:rPr>
          <w:rFonts w:ascii="Times New Roman" w:hAnsi="Times New Roman" w:cs="Times New Roman"/>
          <w:sz w:val="28"/>
          <w:szCs w:val="28"/>
        </w:rPr>
        <w:t>病因类别</w:t>
      </w:r>
      <w:r>
        <w:rPr>
          <w:rFonts w:hint="eastAsia" w:ascii="Times New Roman" w:hAnsi="Times New Roman" w:cs="Times New Roman"/>
          <w:sz w:val="28"/>
          <w:szCs w:val="28"/>
        </w:rPr>
        <w:t>；</w:t>
      </w:r>
    </w:p>
    <w:p w14:paraId="4E4F31D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32</w:t>
      </w:r>
      <w:r>
        <w:rPr>
          <w:rFonts w:hint="eastAsia" w:ascii="Times New Roman" w:hAnsi="Times New Roman" w:cs="Times New Roman"/>
          <w:sz w:val="28"/>
          <w:szCs w:val="28"/>
        </w:rPr>
        <w:t>、逐类展开：对每个选取的</w:t>
      </w:r>
      <w:r>
        <w:rPr>
          <w:rFonts w:ascii="Times New Roman" w:hAnsi="Times New Roman" w:cs="Times New Roman"/>
          <w:sz w:val="28"/>
          <w:szCs w:val="28"/>
        </w:rPr>
        <w:t>病因类别</w:t>
      </w:r>
      <w:r>
        <w:rPr>
          <w:rFonts w:hint="eastAsia" w:ascii="Times New Roman" w:hAnsi="Times New Roman" w:cs="Times New Roman"/>
          <w:sz w:val="28"/>
          <w:szCs w:val="28"/>
        </w:rPr>
        <w:t>分别展开不超过5个具体诊断假设，每个假设包含：假设名称、初步概率、初步依据、关键鉴别检查。</w:t>
      </w:r>
    </w:p>
    <w:p w14:paraId="2485A53F">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5.根据权利要求1所述的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4</w:t>
      </w:r>
      <w:r>
        <w:rPr>
          <w:rFonts w:hint="eastAsia" w:ascii="Times New Roman" w:hAnsi="Times New Roman" w:cs="Times New Roman"/>
          <w:sz w:val="28"/>
          <w:szCs w:val="28"/>
        </w:rPr>
        <w:t>中，</w:t>
      </w:r>
      <w:r>
        <w:rPr>
          <w:rFonts w:ascii="Times New Roman" w:hAnsi="Times New Roman" w:cs="Times New Roman"/>
          <w:sz w:val="28"/>
          <w:szCs w:val="28"/>
        </w:rPr>
        <w:t>深度分析步骤</w:t>
      </w:r>
      <w:r>
        <w:rPr>
          <w:rFonts w:hint="eastAsia" w:ascii="Times New Roman" w:hAnsi="Times New Roman" w:cs="Times New Roman"/>
          <w:sz w:val="28"/>
          <w:szCs w:val="28"/>
        </w:rPr>
        <w:t>包括逐假设证据审查、更新可能性、病理生理学推导—跨诊断统一性检查、逆向审视和治疗后验证，S</w:t>
      </w:r>
      <w:r>
        <w:rPr>
          <w:rFonts w:ascii="Times New Roman" w:hAnsi="Times New Roman" w:cs="Times New Roman"/>
          <w:sz w:val="28"/>
          <w:szCs w:val="28"/>
        </w:rPr>
        <w:t>4</w:t>
      </w:r>
      <w:r>
        <w:rPr>
          <w:rFonts w:hint="eastAsia" w:ascii="Times New Roman" w:hAnsi="Times New Roman" w:cs="Times New Roman"/>
          <w:sz w:val="28"/>
          <w:szCs w:val="28"/>
        </w:rPr>
        <w:t>具体为：</w:t>
      </w:r>
    </w:p>
    <w:p w14:paraId="76A2162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41</w:t>
      </w:r>
      <w:r>
        <w:rPr>
          <w:rFonts w:hint="eastAsia" w:ascii="Times New Roman" w:hAnsi="Times New Roman" w:cs="Times New Roman"/>
          <w:sz w:val="28"/>
          <w:szCs w:val="28"/>
        </w:rPr>
        <w:t>、逐假设证据审查：</w:t>
      </w:r>
    </w:p>
    <w:p w14:paraId="4337F0A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采用if-then-but-therefore演绎推理框架对每个假设进行证据审查，审查维度包括：诊断标准、支持证据、反对证据、信息缺口和鉴别要点，证据审查完成后整理汇总对比表，生成审查结果；</w:t>
      </w:r>
    </w:p>
    <w:p w14:paraId="4F98CE1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42</w:t>
      </w:r>
      <w:r>
        <w:rPr>
          <w:rFonts w:hint="eastAsia" w:ascii="Times New Roman" w:hAnsi="Times New Roman" w:cs="Times New Roman"/>
          <w:sz w:val="28"/>
          <w:szCs w:val="28"/>
        </w:rPr>
        <w:t>、更新可能性：</w:t>
      </w:r>
    </w:p>
    <w:p w14:paraId="34283AF4">
      <w:pPr>
        <w:spacing w:line="480" w:lineRule="auto"/>
        <w:ind w:firstLine="556"/>
        <w:rPr>
          <w:rFonts w:ascii="Times New Roman" w:hAnsi="Times New Roman" w:cs="Times New Roman"/>
          <w:sz w:val="28"/>
          <w:szCs w:val="28"/>
        </w:rPr>
      </w:pPr>
      <w:r>
        <w:rPr>
          <w:rFonts w:ascii="Times New Roman" w:hAnsi="Times New Roman" w:cs="Times New Roman"/>
          <w:sz w:val="28"/>
          <w:szCs w:val="28"/>
        </w:rPr>
        <w:t>综合审查结果，采用五级概率分级对每个假设的可能性置信度做出更新</w:t>
      </w:r>
      <w:r>
        <w:rPr>
          <w:rFonts w:hint="eastAsia" w:ascii="Times New Roman" w:hAnsi="Times New Roman" w:cs="Times New Roman"/>
          <w:sz w:val="28"/>
          <w:szCs w:val="28"/>
        </w:rPr>
        <w:t>，输出</w:t>
      </w:r>
      <w:r>
        <w:rPr>
          <w:rFonts w:ascii="Times New Roman" w:hAnsi="Times New Roman" w:cs="Times New Roman"/>
          <w:sz w:val="28"/>
          <w:szCs w:val="28"/>
        </w:rPr>
        <w:t>可能性评级</w:t>
      </w:r>
      <w:r>
        <w:rPr>
          <w:rFonts w:hint="eastAsia" w:ascii="Times New Roman" w:hAnsi="Times New Roman" w:cs="Times New Roman"/>
          <w:sz w:val="28"/>
          <w:szCs w:val="28"/>
        </w:rPr>
        <w:t>，</w:t>
      </w:r>
      <w:r>
        <w:rPr>
          <w:rFonts w:ascii="Times New Roman" w:hAnsi="Times New Roman" w:cs="Times New Roman"/>
          <w:sz w:val="28"/>
          <w:szCs w:val="28"/>
        </w:rPr>
        <w:t>可能性评级</w:t>
      </w:r>
      <w:r>
        <w:rPr>
          <w:rFonts w:hint="eastAsia" w:ascii="Times New Roman" w:hAnsi="Times New Roman" w:cs="Times New Roman"/>
          <w:sz w:val="28"/>
          <w:szCs w:val="28"/>
        </w:rPr>
        <w:t>包括</w:t>
      </w:r>
      <w:r>
        <w:rPr>
          <w:rFonts w:ascii="Times New Roman" w:hAnsi="Times New Roman" w:cs="Times New Roman"/>
          <w:sz w:val="28"/>
          <w:szCs w:val="28"/>
        </w:rPr>
        <w:t>：排除、小、中、大</w:t>
      </w:r>
      <w:r>
        <w:rPr>
          <w:rFonts w:hint="eastAsia" w:ascii="Times New Roman" w:hAnsi="Times New Roman" w:cs="Times New Roman"/>
          <w:sz w:val="28"/>
          <w:szCs w:val="28"/>
        </w:rPr>
        <w:t>和</w:t>
      </w:r>
      <w:r>
        <w:rPr>
          <w:rFonts w:ascii="Times New Roman" w:hAnsi="Times New Roman" w:cs="Times New Roman"/>
          <w:sz w:val="28"/>
          <w:szCs w:val="28"/>
        </w:rPr>
        <w:t>确定</w:t>
      </w:r>
      <w:r>
        <w:rPr>
          <w:rFonts w:hint="eastAsia" w:ascii="Times New Roman" w:hAnsi="Times New Roman" w:cs="Times New Roman"/>
          <w:sz w:val="28"/>
          <w:szCs w:val="28"/>
        </w:rPr>
        <w:t>，</w:t>
      </w:r>
      <w:r>
        <w:rPr>
          <w:rFonts w:ascii="Times New Roman" w:hAnsi="Times New Roman" w:cs="Times New Roman"/>
          <w:sz w:val="28"/>
          <w:szCs w:val="28"/>
        </w:rPr>
        <w:t>更新依据包括审查结果、先验概率、似然比</w:t>
      </w:r>
      <w:r>
        <w:rPr>
          <w:rFonts w:hint="eastAsia" w:ascii="Times New Roman" w:hAnsi="Times New Roman" w:cs="Times New Roman"/>
          <w:sz w:val="28"/>
          <w:szCs w:val="28"/>
        </w:rPr>
        <w:t>和</w:t>
      </w:r>
      <w:r>
        <w:rPr>
          <w:rFonts w:ascii="Times New Roman" w:hAnsi="Times New Roman" w:cs="Times New Roman"/>
          <w:sz w:val="28"/>
          <w:szCs w:val="28"/>
        </w:rPr>
        <w:t>信息缺口影响程度</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大</w:t>
      </w:r>
      <w:r>
        <w:rPr>
          <w:rFonts w:hint="eastAsia" w:ascii="Times New Roman" w:hAnsi="Times New Roman" w:cs="Times New Roman"/>
          <w:sz w:val="28"/>
          <w:szCs w:val="28"/>
        </w:rPr>
        <w:t>和确定的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高概率假设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中</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中概率假设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排除</w:t>
      </w:r>
      <w:r>
        <w:rPr>
          <w:rFonts w:hint="eastAsia" w:ascii="Times New Roman" w:hAnsi="Times New Roman" w:cs="Times New Roman"/>
          <w:sz w:val="28"/>
          <w:szCs w:val="28"/>
        </w:rPr>
        <w:t>和</w:t>
      </w:r>
      <w:r>
        <w:rPr>
          <w:rFonts w:ascii="Times New Roman" w:hAnsi="Times New Roman" w:cs="Times New Roman"/>
          <w:sz w:val="28"/>
          <w:szCs w:val="28"/>
        </w:rPr>
        <w:t>小</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低概率假设</w:t>
      </w:r>
      <w:r>
        <w:rPr>
          <w:rFonts w:hint="eastAsia" w:ascii="Times New Roman" w:hAnsi="Times New Roman" w:cs="Times New Roman"/>
          <w:sz w:val="28"/>
          <w:szCs w:val="28"/>
        </w:rPr>
        <w:t>；</w:t>
      </w:r>
    </w:p>
    <w:p w14:paraId="366B491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43</w:t>
      </w:r>
      <w:r>
        <w:rPr>
          <w:rFonts w:hint="eastAsia" w:ascii="Times New Roman" w:hAnsi="Times New Roman" w:cs="Times New Roman"/>
          <w:sz w:val="28"/>
          <w:szCs w:val="28"/>
        </w:rPr>
        <w:t>、病理生理学推导—跨诊断统一性检查：</w:t>
      </w:r>
    </w:p>
    <w:p w14:paraId="4CE0265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简要一致性确认</w:t>
      </w:r>
      <w:r>
        <w:rPr>
          <w:rFonts w:hint="eastAsia" w:ascii="Times New Roman" w:hAnsi="Times New Roman" w:cs="Times New Roman"/>
          <w:sz w:val="28"/>
          <w:szCs w:val="28"/>
        </w:rPr>
        <w:t>；</w:t>
      </w:r>
    </w:p>
    <w:p w14:paraId="4E2AA9E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分析其与高概率假设之间的兼容性</w:t>
      </w:r>
      <w:r>
        <w:rPr>
          <w:rFonts w:hint="eastAsia" w:ascii="Times New Roman" w:hAnsi="Times New Roman" w:cs="Times New Roman"/>
          <w:sz w:val="28"/>
          <w:szCs w:val="28"/>
        </w:rPr>
        <w:t>，判断是否兼容，若</w:t>
      </w:r>
      <w:r>
        <w:rPr>
          <w:rFonts w:ascii="Times New Roman" w:hAnsi="Times New Roman" w:cs="Times New Roman"/>
          <w:sz w:val="28"/>
          <w:szCs w:val="28"/>
        </w:rPr>
        <w:t>是</w:t>
      </w:r>
      <w:r>
        <w:rPr>
          <w:rFonts w:hint="eastAsia" w:ascii="Times New Roman" w:hAnsi="Times New Roman" w:cs="Times New Roman"/>
          <w:sz w:val="28"/>
          <w:szCs w:val="28"/>
        </w:rPr>
        <w:t>，</w:t>
      </w:r>
      <w:r>
        <w:rPr>
          <w:rFonts w:ascii="Times New Roman" w:hAnsi="Times New Roman" w:cs="Times New Roman"/>
          <w:sz w:val="28"/>
          <w:szCs w:val="28"/>
        </w:rPr>
        <w:t>则加强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55C59AE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以高概率假设为基准，</w:t>
      </w:r>
      <w:r>
        <w:rPr>
          <w:rFonts w:hint="eastAsia" w:ascii="Times New Roman" w:hAnsi="Times New Roman" w:cs="Times New Roman"/>
          <w:sz w:val="28"/>
          <w:szCs w:val="28"/>
        </w:rPr>
        <w:t>通过中观层检查诊断间一致性，通过宏观层检查患者整体合理性；</w:t>
      </w:r>
    </w:p>
    <w:p w14:paraId="6F82DE64">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44</w:t>
      </w:r>
      <w:r>
        <w:rPr>
          <w:rFonts w:hint="eastAsia" w:ascii="Times New Roman" w:hAnsi="Times New Roman" w:cs="Times New Roman"/>
          <w:sz w:val="28"/>
          <w:szCs w:val="28"/>
        </w:rPr>
        <w:t>、</w:t>
      </w:r>
      <w:r>
        <w:rPr>
          <w:rFonts w:ascii="Times New Roman" w:hAnsi="Times New Roman" w:cs="Times New Roman"/>
          <w:bCs/>
          <w:sz w:val="28"/>
          <w:szCs w:val="28"/>
        </w:rPr>
        <w:t>逆向审视</w:t>
      </w:r>
      <w:r>
        <w:rPr>
          <w:rFonts w:hint="eastAsia" w:ascii="Times New Roman" w:hAnsi="Times New Roman" w:cs="Times New Roman"/>
          <w:bCs/>
          <w:sz w:val="28"/>
          <w:szCs w:val="28"/>
        </w:rPr>
        <w:t>：</w:t>
      </w:r>
    </w:p>
    <w:p w14:paraId="0A9A9B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强制假设该诊断是错误的，</w:t>
      </w:r>
      <w:r>
        <w:rPr>
          <w:rFonts w:hint="eastAsia" w:ascii="Times New Roman" w:hAnsi="Times New Roman" w:cs="Times New Roman"/>
          <w:sz w:val="28"/>
          <w:szCs w:val="28"/>
        </w:rPr>
        <w:t>并</w:t>
      </w:r>
      <w:r>
        <w:rPr>
          <w:rFonts w:ascii="Times New Roman" w:hAnsi="Times New Roman" w:cs="Times New Roman"/>
          <w:sz w:val="28"/>
          <w:szCs w:val="28"/>
        </w:rPr>
        <w:t>搜索替代解释</w:t>
      </w:r>
      <w:r>
        <w:rPr>
          <w:rFonts w:hint="eastAsia" w:ascii="Times New Roman" w:hAnsi="Times New Roman" w:cs="Times New Roman"/>
          <w:sz w:val="28"/>
          <w:szCs w:val="28"/>
        </w:rPr>
        <w:t>；</w:t>
      </w:r>
    </w:p>
    <w:p w14:paraId="685A442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，根据四种认知偏差检查清单对该假设进行</w:t>
      </w:r>
      <w:r>
        <w:rPr>
          <w:rFonts w:ascii="Times New Roman" w:hAnsi="Times New Roman" w:cs="Times New Roman"/>
          <w:sz w:val="28"/>
          <w:szCs w:val="28"/>
        </w:rPr>
        <w:t>检查</w:t>
      </w:r>
      <w:r>
        <w:rPr>
          <w:rFonts w:hint="eastAsia" w:ascii="Times New Roman" w:hAnsi="Times New Roman" w:cs="Times New Roman"/>
          <w:sz w:val="28"/>
          <w:szCs w:val="28"/>
        </w:rPr>
        <w:t>，</w:t>
      </w:r>
      <w:r>
        <w:rPr>
          <w:rFonts w:ascii="Times New Roman" w:hAnsi="Times New Roman" w:cs="Times New Roman"/>
          <w:sz w:val="28"/>
          <w:szCs w:val="28"/>
        </w:rPr>
        <w:t>检查强度与可能性置信度正相关</w:t>
      </w:r>
      <w:r>
        <w:rPr>
          <w:rFonts w:hint="eastAsia" w:ascii="Times New Roman" w:hAnsi="Times New Roman" w:cs="Times New Roman"/>
          <w:sz w:val="28"/>
          <w:szCs w:val="28"/>
        </w:rPr>
        <w:t>，四种认知偏差检查清单包括可得性偏差、锚定效应、确认偏差和代表性偏差；</w:t>
      </w:r>
    </w:p>
    <w:p w14:paraId="32F9F842">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w:t>
      </w:r>
      <w:r>
        <w:rPr>
          <w:rFonts w:hint="eastAsia" w:ascii="Times New Roman" w:hAnsi="Times New Roman" w:cs="Times New Roman"/>
          <w:bCs/>
          <w:sz w:val="28"/>
          <w:szCs w:val="28"/>
        </w:rPr>
        <w:t>治疗后验证：</w:t>
      </w:r>
    </w:p>
    <w:p w14:paraId="1354170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（1）</w:t>
      </w:r>
      <w:r>
        <w:rPr>
          <w:rFonts w:ascii="Times New Roman" w:hAnsi="Times New Roman" w:cs="Times New Roman"/>
          <w:sz w:val="28"/>
          <w:szCs w:val="28"/>
        </w:rPr>
        <w:t>治疗回顾</w:t>
      </w:r>
      <w:r>
        <w:rPr>
          <w:rFonts w:hint="eastAsia" w:ascii="Times New Roman" w:hAnsi="Times New Roman" w:cs="Times New Roman"/>
          <w:sz w:val="28"/>
          <w:szCs w:val="28"/>
        </w:rPr>
        <w:t>：</w:t>
      </w:r>
    </w:p>
    <w:p w14:paraId="5925FA4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，引用已有诊断方案的治疗效果，进行</w:t>
      </w:r>
      <w:r>
        <w:rPr>
          <w:rFonts w:ascii="Times New Roman" w:hAnsi="Times New Roman" w:cs="Times New Roman"/>
          <w:sz w:val="28"/>
          <w:szCs w:val="28"/>
        </w:rPr>
        <w:t>详细的特异性治疗反应评估</w:t>
      </w:r>
      <w:r>
        <w:rPr>
          <w:rFonts w:hint="eastAsia" w:ascii="Times New Roman" w:hAnsi="Times New Roman" w:cs="Times New Roman"/>
          <w:sz w:val="28"/>
          <w:szCs w:val="28"/>
        </w:rPr>
        <w:t>；</w:t>
      </w:r>
    </w:p>
    <w:p w14:paraId="2100136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非特异性治疗反应评估</w:t>
      </w:r>
      <w:r>
        <w:rPr>
          <w:rFonts w:hint="eastAsia" w:ascii="Times New Roman" w:hAnsi="Times New Roman" w:cs="Times New Roman"/>
          <w:sz w:val="28"/>
          <w:szCs w:val="28"/>
        </w:rPr>
        <w:t>；</w:t>
      </w:r>
    </w:p>
    <w:p w14:paraId="733D375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（2）前瞻设定验证指标：</w:t>
      </w:r>
    </w:p>
    <w:p w14:paraId="083EFC1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输出完整的验证标准矩阵</w:t>
      </w:r>
      <w:r>
        <w:rPr>
          <w:rFonts w:hint="eastAsia" w:ascii="Times New Roman" w:hAnsi="Times New Roman" w:cs="Times New Roman"/>
          <w:sz w:val="28"/>
          <w:szCs w:val="28"/>
        </w:rPr>
        <w:t>；</w:t>
      </w:r>
    </w:p>
    <w:p w14:paraId="735A8FD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中概率假设的验证指标聚焦于收集确证性证据</w:t>
      </w:r>
      <w:r>
        <w:rPr>
          <w:rFonts w:hint="eastAsia" w:ascii="Times New Roman" w:hAnsi="Times New Roman" w:cs="Times New Roman"/>
          <w:sz w:val="28"/>
          <w:szCs w:val="28"/>
        </w:rPr>
        <w:t>；</w:t>
      </w:r>
    </w:p>
    <w:p w14:paraId="744D2AD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w:t>
      </w:r>
      <w:r>
        <w:rPr>
          <w:rFonts w:ascii="Times New Roman" w:hAnsi="Times New Roman" w:cs="Times New Roman"/>
          <w:sz w:val="28"/>
          <w:szCs w:val="28"/>
        </w:rPr>
        <w:t>低概率假设的验证指标聚焦于排除确认</w:t>
      </w:r>
      <w:r>
        <w:rPr>
          <w:rFonts w:hint="eastAsia" w:ascii="Times New Roman" w:hAnsi="Times New Roman" w:cs="Times New Roman"/>
          <w:sz w:val="28"/>
          <w:szCs w:val="28"/>
        </w:rPr>
        <w:t>；</w:t>
      </w:r>
    </w:p>
    <w:p w14:paraId="446E2A1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46</w:t>
      </w:r>
      <w:r>
        <w:rPr>
          <w:rFonts w:hint="eastAsia" w:ascii="Times New Roman" w:hAnsi="Times New Roman" w:cs="Times New Roman"/>
          <w:sz w:val="28"/>
          <w:szCs w:val="28"/>
        </w:rPr>
        <w:t>、输出原子化断言清单：</w:t>
      </w:r>
    </w:p>
    <w:p w14:paraId="5152A77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在执行完成S</w:t>
      </w:r>
      <w:r>
        <w:rPr>
          <w:rFonts w:ascii="Times New Roman" w:hAnsi="Times New Roman" w:cs="Times New Roman"/>
          <w:sz w:val="28"/>
          <w:szCs w:val="28"/>
        </w:rPr>
        <w:t>41~</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后，将所有</w:t>
      </w:r>
      <w:r>
        <w:rPr>
          <w:rFonts w:ascii="Times New Roman" w:hAnsi="Times New Roman" w:cs="Times New Roman"/>
          <w:sz w:val="28"/>
          <w:szCs w:val="28"/>
        </w:rPr>
        <w:t>假设的可能性评级汇总为排序假设列表</w:t>
      </w:r>
      <w:r>
        <w:rPr>
          <w:rFonts w:hint="eastAsia" w:ascii="Times New Roman" w:hAnsi="Times New Roman" w:cs="Times New Roman"/>
          <w:sz w:val="28"/>
          <w:szCs w:val="28"/>
        </w:rPr>
        <w:t>，通过LLM输出渲染为原子化断言清单，通过用户可对每条断言执行保留、删除、编辑或添加操作后，生成临床诊断推理结果。</w:t>
      </w:r>
    </w:p>
    <w:p w14:paraId="6DCA95B1">
      <w:pPr>
        <w:spacing w:line="480" w:lineRule="auto"/>
        <w:ind w:firstLine="556"/>
        <w:rPr>
          <w:rFonts w:ascii="Times New Roman" w:hAnsi="Times New Roman" w:cs="Times New Roman"/>
          <w:sz w:val="28"/>
          <w:szCs w:val="28"/>
        </w:rPr>
      </w:pPr>
      <w:r>
        <w:rPr>
          <w:rFonts w:ascii="Times New Roman" w:hAnsi="Times New Roman" w:cs="Times New Roman"/>
          <w:sz w:val="28"/>
          <w:szCs w:val="28"/>
        </w:rPr>
        <w:t>6.</w:t>
      </w:r>
      <w:r>
        <w:rPr>
          <w:rFonts w:hint="eastAsia" w:ascii="Times New Roman" w:hAnsi="Times New Roman" w:cs="Times New Roman"/>
          <w:sz w:val="28"/>
          <w:szCs w:val="28"/>
        </w:rPr>
        <w:t xml:space="preserve"> 一种基于大模型的临床诊断逻辑推理系统，应用于如</w:t>
      </w:r>
      <w:r>
        <w:rPr>
          <w:rFonts w:ascii="Times New Roman" w:hAnsi="Times New Roman" w:cs="Times New Roman"/>
          <w:sz w:val="28"/>
          <w:szCs w:val="28"/>
        </w:rPr>
        <w:t>根据权利要求1~5</w:t>
      </w:r>
      <w:r>
        <w:rPr>
          <w:rFonts w:hint="eastAsia" w:ascii="Times New Roman" w:hAnsi="Times New Roman" w:cs="Times New Roman"/>
          <w:sz w:val="28"/>
          <w:szCs w:val="28"/>
        </w:rPr>
        <w:t>任一项</w:t>
      </w:r>
      <w:r>
        <w:rPr>
          <w:rFonts w:ascii="Times New Roman" w:hAnsi="Times New Roman" w:cs="Times New Roman"/>
          <w:sz w:val="28"/>
          <w:szCs w:val="28"/>
        </w:rPr>
        <w:t>所述的</w:t>
      </w:r>
      <w:r>
        <w:rPr>
          <w:rFonts w:hint="eastAsia" w:ascii="Times New Roman" w:hAnsi="Times New Roman" w:cs="Times New Roman"/>
          <w:sz w:val="28"/>
          <w:szCs w:val="28"/>
        </w:rPr>
        <w:t>基于大模型的临床诊断逻辑推理方法，其特征在于，包括前端推理编排层、后端模板层和大语言模型推理层；</w:t>
      </w:r>
    </w:p>
    <w:p w14:paraId="2B2DCE3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后端模板层用于存储和管理Prompt模板，模板中包含指令和输出格式，大语言模型推理层用于通过analyzeLLM接口直调LLM获取临床诊断推理结果。</w:t>
      </w:r>
    </w:p>
    <w:p w14:paraId="174D6C00">
      <w:pPr>
        <w:spacing w:line="480" w:lineRule="auto"/>
        <w:ind w:firstLine="560" w:firstLineChars="200"/>
        <w:rPr>
          <w:rFonts w:ascii="Times New Roman" w:hAnsi="Times New Roman" w:cs="Times New Roman"/>
          <w:bCs/>
          <w:sz w:val="28"/>
          <w:szCs w:val="28"/>
        </w:rPr>
        <w:sectPr>
          <w:headerReference r:id="rId13" w:type="default"/>
          <w:footerReference r:id="rId14" w:type="default"/>
          <w:pgSz w:w="11906" w:h="16838"/>
          <w:pgMar w:top="1418" w:right="851" w:bottom="851" w:left="1418" w:header="851" w:footer="113" w:gutter="0"/>
          <w:pgNumType w:start="1"/>
          <w:cols w:space="425" w:num="1"/>
          <w:docGrid w:type="lines" w:linePitch="312" w:charSpace="0"/>
        </w:sectPr>
      </w:pPr>
    </w:p>
    <w:p w14:paraId="1035092E">
      <w:pPr>
        <w:spacing w:before="240" w:line="480" w:lineRule="auto"/>
        <w:jc w:val="center"/>
        <w:rPr>
          <w:rFonts w:ascii="Times New Roman" w:hAnsi="Times New Roman" w:cs="Times New Roman"/>
          <w:b/>
          <w:sz w:val="28"/>
          <w:szCs w:val="28"/>
        </w:rPr>
      </w:pPr>
      <w:r>
        <w:rPr>
          <w:rFonts w:ascii="Times New Roman" w:hAnsi="Times New Roman" w:cs="Times New Roman"/>
          <w:b/>
          <w:sz w:val="28"/>
          <w:szCs w:val="28"/>
        </w:rPr>
        <w:t>一种</w:t>
      </w:r>
      <w:r>
        <w:rPr>
          <w:rFonts w:hint="eastAsia" w:ascii="Times New Roman" w:hAnsi="Times New Roman" w:cs="Times New Roman"/>
          <w:b/>
          <w:sz w:val="28"/>
          <w:szCs w:val="28"/>
        </w:rPr>
        <w:t>基于大模型的临床诊断逻辑推理方法及系统</w:t>
      </w:r>
    </w:p>
    <w:p w14:paraId="5DADE0A2">
      <w:pPr>
        <w:spacing w:line="480" w:lineRule="auto"/>
        <w:rPr>
          <w:rFonts w:ascii="Times New Roman" w:hAnsi="Times New Roman" w:cs="Times New Roman"/>
          <w:b/>
          <w:sz w:val="28"/>
          <w:szCs w:val="28"/>
        </w:rPr>
      </w:pPr>
      <w:r>
        <w:rPr>
          <w:rFonts w:ascii="Times New Roman" w:hAnsi="Times New Roman" w:cs="Times New Roman"/>
          <w:b/>
          <w:sz w:val="28"/>
          <w:szCs w:val="28"/>
        </w:rPr>
        <w:t>技术领域</w:t>
      </w:r>
    </w:p>
    <w:p w14:paraId="728F8628">
      <w:pPr>
        <w:spacing w:line="480" w:lineRule="auto"/>
        <w:ind w:firstLine="556"/>
        <w:rPr>
          <w:rFonts w:ascii="Times New Roman" w:hAnsi="Times New Roman" w:cs="Times New Roman"/>
          <w:sz w:val="28"/>
          <w:szCs w:val="28"/>
        </w:rPr>
      </w:pPr>
      <w:r>
        <w:rPr>
          <w:rFonts w:ascii="Times New Roman" w:hAnsi="Times New Roman" w:cs="Times New Roman"/>
          <w:sz w:val="28"/>
          <w:szCs w:val="28"/>
        </w:rPr>
        <w:t>本</w:t>
      </w:r>
      <w:r>
        <w:rPr>
          <w:rFonts w:hint="eastAsia" w:ascii="Times New Roman" w:hAnsi="Times New Roman" w:cs="Times New Roman"/>
          <w:sz w:val="28"/>
          <w:szCs w:val="28"/>
        </w:rPr>
        <w:t>发明</w:t>
      </w:r>
      <w:r>
        <w:rPr>
          <w:rFonts w:ascii="Times New Roman" w:hAnsi="Times New Roman" w:cs="Times New Roman"/>
          <w:sz w:val="28"/>
          <w:szCs w:val="28"/>
        </w:rPr>
        <w:t>属于</w:t>
      </w:r>
      <w:r>
        <w:rPr>
          <w:rFonts w:hint="eastAsia" w:ascii="Times New Roman" w:hAnsi="Times New Roman" w:cs="Times New Roman"/>
          <w:sz w:val="28"/>
          <w:szCs w:val="28"/>
        </w:rPr>
        <w:t>自然语言处理标准化技术</w:t>
      </w:r>
      <w:r>
        <w:rPr>
          <w:rFonts w:ascii="Times New Roman" w:hAnsi="Times New Roman" w:cs="Times New Roman"/>
          <w:sz w:val="28"/>
          <w:szCs w:val="28"/>
        </w:rPr>
        <w:t>领域，具体涉及</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w:t>
      </w:r>
    </w:p>
    <w:p w14:paraId="071AAE89">
      <w:pPr>
        <w:spacing w:line="480" w:lineRule="auto"/>
        <w:rPr>
          <w:rFonts w:ascii="Times New Roman" w:hAnsi="Times New Roman" w:cs="Times New Roman"/>
          <w:b/>
          <w:sz w:val="28"/>
          <w:szCs w:val="28"/>
        </w:rPr>
      </w:pPr>
      <w:r>
        <w:rPr>
          <w:rFonts w:ascii="Times New Roman" w:hAnsi="Times New Roman" w:cs="Times New Roman"/>
          <w:b/>
          <w:sz w:val="28"/>
          <w:szCs w:val="28"/>
        </w:rPr>
        <w:t>背景技术</w:t>
      </w:r>
    </w:p>
    <w:p w14:paraId="25A676F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随着人工智能和信息技术的不断发展，大语言模型（Large Language Model，LLM）凭借强大的自然语言理解与生成能力，已被广泛应用于医疗临床诊断与治疗方案生成等任务中，其优势在于能够处理非结构化病历文本（如主诉、现病史）并生成贴近临床表达的推荐结果。然而，LLM在医疗辅助诊断应用中却存在至少以下几个核心问题：</w:t>
      </w:r>
    </w:p>
    <w:p w14:paraId="7F329802">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一，单步推理精度随复杂度指数下降。LLM在同一步骤中需要处理超过5-7项信息时，其模式匹配的本质缺陷便凸显出来——遗漏率和幻觉率显著上升。对于复杂/不典型病例（如症状不特异、多系统共病、罕见病排查、治疗无效需重新评估等场景），一次性输出完整诊断结论的方式无法提供深度的、可追溯的逻辑推理过程。</w:t>
      </w:r>
    </w:p>
    <w:p w14:paraId="09C3B0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第二，输出格式稳定性不足。现有技术通常要求LLM以JSON等结构化格式输出诊断结果，但LLM在生成JSON时经常出现括号、引号错位导致整体解析失败，严重影响系统的可靠性。</w:t>
      </w:r>
    </w:p>
    <w:p w14:paraId="36822F3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三，LLM与人类一样受限于认知偏差。包括可得性偏差（因最近见过类似病例而高估该诊断）、锚定效应（过度依赖最初的信息而后续调整不足）、确认偏差（只关注支持性证据而忽略反对证据）和代表性偏差（因表现典型而忽略不匹配细节），但现有技术缺乏系统性的防错机制来对冲这些偏差。</w:t>
      </w:r>
    </w:p>
    <w:p w14:paraId="02A0014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第四，LLM调用本身不可靠。在长流程推理中（需数十次LLM调用），超时、异常、内容截断等问题频发，现有技术缺乏原子级持久化和断点恢复机制，一旦某步失败需要整体回滚，时间和算力浪费严重。</w:t>
      </w:r>
    </w:p>
    <w:p w14:paraId="0B7CBD1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第五，推理过程不可审计。现有技术中LLM输出为整块连续文本，下游步骤无法区分可靠内容与幻觉产生的内容，错误断言会向下游传播并被逐级放大，也无法对LLM的推理过程进行逐项审核和追溯。</w:t>
      </w:r>
    </w:p>
    <w:p w14:paraId="7C4B526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对此，当前本领域技术人员已研究尝试结合LLM生成与提示工程（Prompt Engineering）来提升推理质量，如通过设计更精细的提示词模板来引导LLM输出。但由于此类方案本质为一次性输入的优化，未从系统性工程架构角度对LLM的固有缺陷进行分层约束，仍难以在医疗这一容错率趋近于零的领域实现从"能说会道"到"能用可靠"的跨越。</w:t>
      </w:r>
    </w:p>
    <w:p w14:paraId="7E2DC5BA">
      <w:pPr>
        <w:spacing w:line="480" w:lineRule="auto"/>
        <w:rPr>
          <w:rFonts w:ascii="Times New Roman" w:hAnsi="Times New Roman" w:cs="Times New Roman"/>
          <w:b/>
          <w:sz w:val="28"/>
          <w:szCs w:val="28"/>
        </w:rPr>
      </w:pPr>
      <w:r>
        <w:rPr>
          <w:rFonts w:ascii="Times New Roman" w:hAnsi="Times New Roman" w:cs="Times New Roman"/>
          <w:b/>
          <w:sz w:val="28"/>
          <w:szCs w:val="28"/>
        </w:rPr>
        <w:t>发明内容</w:t>
      </w:r>
    </w:p>
    <w:p w14:paraId="3D076A08">
      <w:pPr>
        <w:spacing w:line="480" w:lineRule="auto"/>
        <w:ind w:firstLine="556"/>
        <w:rPr>
          <w:rFonts w:ascii="Times New Roman" w:hAnsi="Times New Roman" w:cs="Times New Roman"/>
          <w:sz w:val="28"/>
          <w:szCs w:val="28"/>
        </w:rPr>
      </w:pPr>
      <w:r>
        <w:rPr>
          <w:rFonts w:ascii="Times New Roman" w:hAnsi="Times New Roman" w:cs="Times New Roman"/>
          <w:sz w:val="28"/>
          <w:szCs w:val="28"/>
        </w:rPr>
        <w:t>针对现有技术中的上述不足，本发明提供的</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解决了</w:t>
      </w:r>
      <w:r>
        <w:rPr>
          <w:rFonts w:hint="eastAsia" w:ascii="Times New Roman" w:hAnsi="Times New Roman" w:cs="Times New Roman"/>
          <w:sz w:val="28"/>
          <w:szCs w:val="28"/>
        </w:rPr>
        <w:t>医疗LLM在辅助诊断推理中出现的单步推理精度随复杂度下降、输出格式不稳定、认知偏差、调用不可靠和推理不可审计</w:t>
      </w:r>
      <w:r>
        <w:rPr>
          <w:rFonts w:ascii="Times New Roman" w:hAnsi="Times New Roman" w:cs="Times New Roman"/>
          <w:sz w:val="28"/>
          <w:szCs w:val="28"/>
        </w:rPr>
        <w:t>的问题。</w:t>
      </w:r>
    </w:p>
    <w:p w14:paraId="4D59B6BE">
      <w:pPr>
        <w:spacing w:line="480" w:lineRule="auto"/>
        <w:ind w:firstLine="556"/>
        <w:rPr>
          <w:rFonts w:ascii="Times New Roman" w:hAnsi="Times New Roman" w:cs="Times New Roman"/>
          <w:sz w:val="28"/>
          <w:szCs w:val="28"/>
        </w:rPr>
      </w:pPr>
      <w:r>
        <w:rPr>
          <w:rFonts w:ascii="Times New Roman" w:hAnsi="Times New Roman" w:cs="Times New Roman"/>
          <w:sz w:val="28"/>
          <w:szCs w:val="28"/>
        </w:rPr>
        <w:t>为了达到上述发明目的，本发明采用的技术方案为：一种</w:t>
      </w:r>
      <w:r>
        <w:rPr>
          <w:rFonts w:hint="eastAsia" w:ascii="Times New Roman" w:hAnsi="Times New Roman" w:cs="Times New Roman"/>
          <w:sz w:val="28"/>
          <w:szCs w:val="28"/>
        </w:rPr>
        <w:t>基于大模型的临床诊断逻辑推理方法，包括以下步骤：</w:t>
      </w:r>
    </w:p>
    <w:p w14:paraId="05C4742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5CA91A44">
      <w:pPr>
        <w:spacing w:line="480" w:lineRule="auto"/>
        <w:ind w:firstLine="556"/>
        <w:rPr>
          <w:rFonts w:ascii="Times New Roman" w:hAnsi="Times New Roman" w:cs="Times New Roman"/>
          <w:sz w:val="28"/>
          <w:szCs w:val="28"/>
        </w:rPr>
      </w:pPr>
      <w:r>
        <w:rPr>
          <w:rFonts w:ascii="Times New Roman" w:hAnsi="Times New Roman" w:cs="Times New Roman"/>
          <w:sz w:val="28"/>
          <w:szCs w:val="28"/>
        </w:rPr>
        <w:t>S2、</w:t>
      </w:r>
      <w:r>
        <w:rPr>
          <w:rFonts w:hint="eastAsia" w:ascii="Times New Roman" w:hAnsi="Times New Roman" w:cs="Times New Roman"/>
          <w:sz w:val="28"/>
          <w:szCs w:val="28"/>
        </w:rPr>
        <w:t>将结构化资料输入LLM，输出核心问题陈述、紧急问题清单和核心问题清单；</w:t>
      </w:r>
    </w:p>
    <w:p w14:paraId="5E6186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607B7950">
      <w:pPr>
        <w:spacing w:line="480" w:lineRule="auto"/>
        <w:ind w:firstLine="556"/>
        <w:rPr>
          <w:rFonts w:ascii="Times New Roman" w:hAnsi="Times New Roman" w:cs="Times New Roman"/>
          <w:sz w:val="28"/>
          <w:szCs w:val="28"/>
        </w:rPr>
      </w:pPr>
      <w:r>
        <w:rPr>
          <w:rFonts w:ascii="Times New Roman" w:hAnsi="Times New Roman" w:cs="Times New Roman"/>
          <w:sz w:val="28"/>
          <w:szCs w:val="28"/>
        </w:rPr>
        <w:t>S4、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67510D9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一种基于大模型的临床诊断逻辑推理系统，包括前端推理编排层、后端模板层和大语言模型推理层；</w:t>
      </w:r>
    </w:p>
    <w:p w14:paraId="2B82367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后端模板层用于存储和管理Prompt模板，模板中包含指令和输出格式，大语言模型推理层用于通过analyzeLLM接口直调LLM获取临床诊断推理结果。</w:t>
      </w:r>
    </w:p>
    <w:p w14:paraId="5811571C">
      <w:pPr>
        <w:spacing w:line="480" w:lineRule="auto"/>
        <w:ind w:firstLine="556"/>
        <w:rPr>
          <w:rFonts w:ascii="Times New Roman" w:hAnsi="Times New Roman" w:cs="Times New Roman"/>
          <w:sz w:val="28"/>
          <w:szCs w:val="28"/>
        </w:rPr>
      </w:pPr>
      <w:r>
        <w:rPr>
          <w:rFonts w:ascii="Times New Roman" w:hAnsi="Times New Roman" w:cs="Times New Roman"/>
          <w:sz w:val="28"/>
          <w:szCs w:val="28"/>
        </w:rPr>
        <w:t>本发明的有益效果为：</w:t>
      </w:r>
    </w:p>
    <w:p w14:paraId="2796479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（1）通过认知任务分解和认知负载控制，将复杂诊断任务拆解为</w:t>
      </w:r>
      <w:r>
        <w:rPr>
          <w:rFonts w:ascii="Times New Roman" w:hAnsi="Times New Roman" w:cs="Times New Roman"/>
          <w:sz w:val="28"/>
          <w:szCs w:val="28"/>
        </w:rPr>
        <w:t>4</w:t>
      </w:r>
      <w:r>
        <w:rPr>
          <w:rFonts w:hint="eastAsia" w:ascii="Times New Roman" w:hAnsi="Times New Roman" w:cs="Times New Roman"/>
          <w:sz w:val="28"/>
          <w:szCs w:val="28"/>
        </w:rPr>
        <w:t>个独立认知子步骤，每步限定处理量不超过5-7项，大幅降低了LLM在每一步的推理复杂度，使LLM在医疗诊断这一高精度要求领域中的推理准确率显著提升。实验数据表明，单步处理量控制在5项以内时，LLM的输出准确率可达到90%以上，而超过10项时准确率下降至不足60%。</w:t>
      </w:r>
    </w:p>
    <w:p w14:paraId="3C67EAC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2）通过分层-展开策略，先按病因归类（不超过7类）再逐类展开（每类不超过5个假设），使鉴别诊断的全面覆盖量达到15-35个假设，同时保持LLM每步处理量不超过5个，解决了扁平列表模式下遗漏率和幻觉率显著上升的问题。</w:t>
      </w:r>
    </w:p>
    <w:p w14:paraId="44566F3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（3）全流程统一使用</w:t>
      </w:r>
      <w:r>
        <w:rPr>
          <w:rFonts w:ascii="Times New Roman" w:hAnsi="Times New Roman" w:cs="Times New Roman"/>
          <w:sz w:val="28"/>
          <w:szCs w:val="28"/>
        </w:rPr>
        <w:t>LLM</w:t>
      </w:r>
      <w:r>
        <w:rPr>
          <w:rFonts w:hint="eastAsia" w:ascii="Times New Roman" w:hAnsi="Times New Roman" w:cs="Times New Roman"/>
          <w:sz w:val="28"/>
          <w:szCs w:val="28"/>
        </w:rPr>
        <w:t>，其输出为Markdown格式而非JSON，利用LLM对Markdown的天然高容错性，从根本上消除了JSON括号/引号错位导致整体解析失败的问题，输出格式的稳定解析率达到99%以上。</w:t>
      </w:r>
    </w:p>
    <w:p w14:paraId="63287A3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（4）通过内置逆向审视和四种认知偏差检查清单，系统性地对冲LLM在推理过程中的认知偏差，防止“过早关闭”这一最常见的诊断错误，使推理过程的可靠性得到工程化保障。</w:t>
      </w:r>
    </w:p>
    <w:p w14:paraId="106D1A5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（5）通过</w:t>
      </w:r>
      <w:r>
        <w:rPr>
          <w:rFonts w:ascii="Times New Roman" w:hAnsi="Times New Roman" w:cs="Times New Roman"/>
          <w:sz w:val="28"/>
          <w:szCs w:val="28"/>
        </w:rPr>
        <w:t>LLM</w:t>
      </w:r>
      <w:r>
        <w:rPr>
          <w:rFonts w:hint="eastAsia" w:ascii="Times New Roman" w:hAnsi="Times New Roman" w:cs="Times New Roman"/>
          <w:sz w:val="28"/>
          <w:szCs w:val="28"/>
        </w:rPr>
        <w:t>的每步骤输出独立持久化，在长流程（数十次LLM调用）中即使发生中断，也仅需重做中断步骤，无需级联回滚全部已有成果，重试代价降低90%以上。</w:t>
      </w:r>
    </w:p>
    <w:p w14:paraId="263DC42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（6）通过多假设级并行</w:t>
      </w:r>
      <w:r>
        <w:rPr>
          <w:rFonts w:ascii="Times New Roman" w:hAnsi="Times New Roman" w:cs="Times New Roman"/>
          <w:sz w:val="28"/>
          <w:szCs w:val="28"/>
        </w:rPr>
        <w:t>深度分析</w:t>
      </w:r>
      <w:r>
        <w:rPr>
          <w:rFonts w:hint="eastAsia" w:ascii="Times New Roman" w:hAnsi="Times New Roman" w:cs="Times New Roman"/>
          <w:sz w:val="28"/>
          <w:szCs w:val="28"/>
        </w:rPr>
        <w:t>架构，在保证推理质量的前提下将端到端推理时间从串行N×Time压缩为并行Time，使分步深度推理在实际临床场景中具有可用性。</w:t>
      </w:r>
    </w:p>
    <w:p w14:paraId="635AC50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7）通过断言化输出与人工验证的结合，实现了LLM推理输出从不可分割的整块文本到可逐项验证的原子化断言清单的升级，形成了“LLM产出→医生判定→仅确认项进入下游”的闭环验证链路，从根本上解决了LLM产出错误断言向下游传播并逐级放大的问题。</w:t>
      </w:r>
    </w:p>
    <w:p w14:paraId="2C47A36A">
      <w:pPr>
        <w:spacing w:line="480" w:lineRule="auto"/>
        <w:rPr>
          <w:rFonts w:ascii="Times New Roman" w:hAnsi="Times New Roman" w:cs="Times New Roman"/>
          <w:sz w:val="28"/>
          <w:szCs w:val="28"/>
        </w:rPr>
      </w:pPr>
      <w:r>
        <w:rPr>
          <w:rFonts w:ascii="Times New Roman" w:hAnsi="Times New Roman" w:cs="Times New Roman"/>
          <w:b/>
          <w:sz w:val="28"/>
          <w:szCs w:val="28"/>
        </w:rPr>
        <w:t>附图说明</w:t>
      </w:r>
    </w:p>
    <w:p w14:paraId="5354F5F8">
      <w:pPr>
        <w:spacing w:line="480" w:lineRule="auto"/>
        <w:ind w:firstLine="556"/>
        <w:rPr>
          <w:rFonts w:ascii="Times New Roman" w:hAnsi="Times New Roman" w:cs="Times New Roman"/>
          <w:sz w:val="28"/>
          <w:szCs w:val="28"/>
        </w:rPr>
      </w:pPr>
      <w:r>
        <w:rPr>
          <w:rFonts w:ascii="Times New Roman" w:hAnsi="Times New Roman" w:cs="Times New Roman"/>
          <w:sz w:val="28"/>
          <w:szCs w:val="28"/>
        </w:rPr>
        <w:t>图1为</w:t>
      </w:r>
      <w:r>
        <w:rPr>
          <w:rFonts w:hint="eastAsia" w:ascii="Times New Roman" w:hAnsi="Times New Roman" w:cs="Times New Roman"/>
          <w:sz w:val="28"/>
          <w:szCs w:val="28"/>
        </w:rPr>
        <w:t>本发明的一种基于大模型的临床诊断逻辑推理方法流程图。</w:t>
      </w:r>
    </w:p>
    <w:p w14:paraId="2EC9074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图2为本发明的一种基于大模型的临床诊断逻辑推理系统示意图。</w:t>
      </w:r>
    </w:p>
    <w:p w14:paraId="5B37CCED">
      <w:pPr>
        <w:spacing w:line="480" w:lineRule="auto"/>
        <w:rPr>
          <w:rFonts w:ascii="Times New Roman" w:hAnsi="Times New Roman" w:cs="Times New Roman"/>
          <w:b/>
          <w:sz w:val="28"/>
          <w:szCs w:val="28"/>
        </w:rPr>
      </w:pPr>
      <w:r>
        <w:rPr>
          <w:rFonts w:ascii="Times New Roman" w:hAnsi="Times New Roman" w:cs="Times New Roman"/>
          <w:b/>
          <w:sz w:val="28"/>
          <w:szCs w:val="28"/>
        </w:rPr>
        <w:t>具体实施方式</w:t>
      </w:r>
    </w:p>
    <w:p w14:paraId="06BD7B70">
      <w:pPr>
        <w:spacing w:line="480" w:lineRule="auto"/>
        <w:ind w:firstLine="556"/>
        <w:rPr>
          <w:rFonts w:ascii="Times New Roman" w:hAnsi="Times New Roman" w:cs="Times New Roman"/>
          <w:sz w:val="28"/>
          <w:szCs w:val="28"/>
        </w:rPr>
      </w:pPr>
      <w:r>
        <w:rPr>
          <w:rFonts w:ascii="Times New Roman" w:hAnsi="Times New Roman" w:cs="Times New Roman"/>
          <w:sz w:val="28"/>
          <w:szCs w:val="28"/>
        </w:rPr>
        <w:t>下面对本发明的具体实施方式进行描述，以便于本技术领域的技术人员理解本发明，但应该清楚，本发明不限于具体实施方式的范围，对本技术领域的普通技术人员来讲，只要各种变化在所附的权利要求限定和确定的本发明的精神和范围内，这些变化是显而易见的，一切利用本发明构思的发明创造均在保护之列。</w:t>
      </w:r>
    </w:p>
    <w:p w14:paraId="4B2FC020">
      <w:pPr>
        <w:spacing w:line="480" w:lineRule="auto"/>
        <w:ind w:firstLine="556"/>
        <w:rPr>
          <w:rFonts w:ascii="Times New Roman" w:hAnsi="Times New Roman" w:cs="Times New Roman"/>
          <w:sz w:val="28"/>
          <w:szCs w:val="28"/>
        </w:rPr>
      </w:pPr>
      <w:r>
        <w:rPr>
          <w:rFonts w:ascii="Times New Roman" w:hAnsi="Times New Roman" w:cs="Times New Roman"/>
          <w:sz w:val="28"/>
          <w:szCs w:val="28"/>
        </w:rPr>
        <w:t>如图1所示，在本发明的一个实施例中，</w:t>
      </w:r>
      <w:r>
        <w:rPr>
          <w:rFonts w:hint="eastAsia" w:ascii="Times New Roman" w:hAnsi="Times New Roman" w:cs="Times New Roman"/>
          <w:sz w:val="28"/>
          <w:szCs w:val="28"/>
        </w:rPr>
        <w:t>一种基于大模型的临床诊断逻辑推理方法，包括以下步骤：</w:t>
      </w:r>
    </w:p>
    <w:p w14:paraId="5B61917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01EA615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2</w:t>
      </w:r>
      <w:r>
        <w:rPr>
          <w:rFonts w:hint="eastAsia" w:ascii="Times New Roman" w:hAnsi="Times New Roman" w:cs="Times New Roman"/>
          <w:sz w:val="28"/>
          <w:szCs w:val="28"/>
        </w:rPr>
        <w:t>、将结构化资料输入LLM，输出核心问题陈述、紧急问题清单和核心问题清单；</w:t>
      </w:r>
    </w:p>
    <w:p w14:paraId="05850FE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3CD08C8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20B17D7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本发明实施例的主要目的在于提供一种基于大模型的临床诊断逻辑推理方法，通过系统性工程架构设计，在LLM的固有弱点之上叠加强约束的工程骨架，从而在医疗这一容错率趋近于零的领域实现从“能说会道”到“能用可靠”的跨越，解决</w:t>
      </w:r>
      <w:bookmarkStart w:id="0" w:name="_Hlk232517183"/>
      <w:r>
        <w:rPr>
          <w:rFonts w:hint="eastAsia" w:ascii="Times New Roman" w:hAnsi="Times New Roman" w:cs="Times New Roman"/>
          <w:sz w:val="28"/>
          <w:szCs w:val="28"/>
        </w:rPr>
        <w:t>医疗LLM在辅助诊断推理中出现的单步推理精度随复杂度下降、输出格式不稳定、认知偏差、调用不可靠及推理不可审计</w:t>
      </w:r>
      <w:bookmarkEnd w:id="0"/>
      <w:r>
        <w:rPr>
          <w:rFonts w:hint="eastAsia" w:ascii="Times New Roman" w:hAnsi="Times New Roman" w:cs="Times New Roman"/>
          <w:sz w:val="28"/>
          <w:szCs w:val="28"/>
        </w:rPr>
        <w:t>等问题，进而达到理想的辅助诊断效果。</w:t>
      </w:r>
    </w:p>
    <w:p w14:paraId="470FC07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中，患者临床数据包括：患者基本信息（性别、年龄、主诉）、现病史（起病经过、症状演变、诊疗经过）、既往史（基础疾病、手术史、用药史）、体格检查（生命体征、阳性体征、有鉴别意义的阴性体征）、辅助检查（实验室检查、影像学检查、特殊检查）以及入院记录、病程记录、手术记录、会诊记录等。</w:t>
      </w:r>
    </w:p>
    <w:p w14:paraId="6672855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结构化资料存入organizedData，作为后续所有推理步骤的上下文基础</w:t>
      </w:r>
      <w:r>
        <w:rPr>
          <w:rFonts w:hint="eastAsia" w:ascii="Times New Roman" w:hAnsi="Times New Roman" w:cs="Times New Roman"/>
          <w:sz w:val="28"/>
          <w:szCs w:val="28"/>
        </w:rPr>
        <w:t>，依次执行S2至S</w:t>
      </w:r>
      <w:r>
        <w:rPr>
          <w:rFonts w:ascii="Times New Roman" w:hAnsi="Times New Roman" w:cs="Times New Roman"/>
          <w:sz w:val="28"/>
          <w:szCs w:val="28"/>
        </w:rPr>
        <w:t>4</w:t>
      </w:r>
      <w:r>
        <w:rPr>
          <w:rFonts w:hint="eastAsia" w:ascii="Times New Roman" w:hAnsi="Times New Roman" w:cs="Times New Roman"/>
          <w:sz w:val="28"/>
          <w:szCs w:val="28"/>
        </w:rPr>
        <w:t>的推理流程，其中，S2至S</w:t>
      </w:r>
      <w:r>
        <w:rPr>
          <w:rFonts w:ascii="Times New Roman" w:hAnsi="Times New Roman" w:cs="Times New Roman"/>
          <w:sz w:val="28"/>
          <w:szCs w:val="28"/>
        </w:rPr>
        <w:t>4</w:t>
      </w:r>
      <w:r>
        <w:rPr>
          <w:rFonts w:hint="eastAsia" w:ascii="Times New Roman" w:hAnsi="Times New Roman" w:cs="Times New Roman"/>
          <w:sz w:val="28"/>
          <w:szCs w:val="28"/>
        </w:rPr>
        <w:t>采用逐级手动推进模式，每步由LLM生成内容后，经医生审核确认方可进入下一步。</w:t>
      </w:r>
    </w:p>
    <w:p w14:paraId="64FE9CE2">
      <w:pPr>
        <w:spacing w:line="480" w:lineRule="auto"/>
        <w:ind w:firstLine="556"/>
        <w:rPr>
          <w:rFonts w:ascii="Times New Roman" w:hAnsi="Times New Roman" w:cs="Times New Roman"/>
          <w:sz w:val="28"/>
          <w:szCs w:val="28"/>
        </w:rPr>
      </w:pPr>
      <w:bookmarkStart w:id="1" w:name="_Hlk232500316"/>
      <w:r>
        <w:rPr>
          <w:rFonts w:hint="eastAsia" w:ascii="Times New Roman" w:hAnsi="Times New Roman" w:cs="Times New Roman"/>
          <w:sz w:val="28"/>
          <w:szCs w:val="28"/>
        </w:rPr>
        <w:t>S</w:t>
      </w:r>
      <w:bookmarkEnd w:id="1"/>
      <w:r>
        <w:rPr>
          <w:rFonts w:ascii="Times New Roman" w:hAnsi="Times New Roman" w:cs="Times New Roman"/>
          <w:sz w:val="28"/>
          <w:szCs w:val="28"/>
        </w:rPr>
        <w:t>2</w:t>
      </w:r>
      <w:r>
        <w:rPr>
          <w:rFonts w:hint="eastAsia" w:ascii="Times New Roman" w:hAnsi="Times New Roman" w:cs="Times New Roman"/>
          <w:sz w:val="28"/>
          <w:szCs w:val="28"/>
        </w:rPr>
        <w:t>具体为：</w:t>
      </w:r>
    </w:p>
    <w:p w14:paraId="6AEE320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将结构化资料输入LLM，</w:t>
      </w:r>
      <w:r>
        <w:rPr>
          <w:rFonts w:ascii="Times New Roman" w:hAnsi="Times New Roman" w:cs="Times New Roman"/>
          <w:sz w:val="28"/>
          <w:szCs w:val="28"/>
        </w:rPr>
        <w:t>对患者临床信息进行提炼和抽象化</w:t>
      </w:r>
      <w:r>
        <w:rPr>
          <w:rFonts w:hint="eastAsia" w:ascii="Times New Roman" w:hAnsi="Times New Roman" w:cs="Times New Roman"/>
          <w:sz w:val="28"/>
          <w:szCs w:val="28"/>
        </w:rPr>
        <w:t>后</w:t>
      </w:r>
      <w:r>
        <w:rPr>
          <w:rFonts w:ascii="Times New Roman" w:hAnsi="Times New Roman" w:cs="Times New Roman"/>
          <w:sz w:val="28"/>
          <w:szCs w:val="28"/>
        </w:rPr>
        <w:t>形成诊断问题陈述</w:t>
      </w:r>
      <w:r>
        <w:rPr>
          <w:rFonts w:hint="eastAsia" w:ascii="Times New Roman" w:hAnsi="Times New Roman" w:cs="Times New Roman"/>
          <w:sz w:val="28"/>
          <w:szCs w:val="28"/>
        </w:rPr>
        <w:t>，</w:t>
      </w:r>
      <w:bookmarkStart w:id="2" w:name="_Hlk232500492"/>
      <w:r>
        <w:rPr>
          <w:rFonts w:ascii="Times New Roman" w:hAnsi="Times New Roman" w:cs="Times New Roman"/>
          <w:sz w:val="28"/>
          <w:szCs w:val="28"/>
        </w:rPr>
        <w:t>采用三要素结构</w:t>
      </w:r>
      <w:bookmarkEnd w:id="2"/>
      <w:r>
        <w:rPr>
          <w:rFonts w:ascii="Times New Roman" w:hAnsi="Times New Roman" w:cs="Times New Roman"/>
          <w:sz w:val="28"/>
          <w:szCs w:val="28"/>
        </w:rPr>
        <w:t>（</w:t>
      </w:r>
      <w:bookmarkStart w:id="3" w:name="_Hlk232500499"/>
      <w:r>
        <w:rPr>
          <w:rFonts w:ascii="Times New Roman" w:hAnsi="Times New Roman" w:cs="Times New Roman"/>
          <w:sz w:val="28"/>
          <w:szCs w:val="28"/>
        </w:rPr>
        <w:t>人口学与基础条件Who+时间模式When+临床综合征What），使用语义限定词将症状体征从日常语言翻译为医学专业语言，输出核心问题陈述、紧急问题清单和核心问题清单</w:t>
      </w:r>
      <w:bookmarkEnd w:id="3"/>
      <w:r>
        <w:rPr>
          <w:rFonts w:hint="eastAsia" w:ascii="Times New Roman" w:hAnsi="Times New Roman" w:cs="Times New Roman"/>
          <w:sz w:val="28"/>
          <w:szCs w:val="28"/>
        </w:rPr>
        <w:t>；</w:t>
      </w:r>
    </w:p>
    <w:p w14:paraId="546F4E6A">
      <w:pPr>
        <w:spacing w:line="480" w:lineRule="auto"/>
        <w:ind w:firstLine="556"/>
        <w:rPr>
          <w:rFonts w:ascii="Times New Roman" w:hAnsi="Times New Roman" w:cs="Times New Roman"/>
          <w:sz w:val="28"/>
          <w:szCs w:val="28"/>
        </w:rPr>
      </w:pPr>
      <w:r>
        <w:rPr>
          <w:rFonts w:ascii="Times New Roman" w:hAnsi="Times New Roman" w:cs="Times New Roman"/>
          <w:sz w:val="28"/>
          <w:szCs w:val="28"/>
        </w:rPr>
        <w:t>核心问题陈述</w:t>
      </w:r>
      <w:r>
        <w:rPr>
          <w:rFonts w:hint="eastAsia" w:ascii="Times New Roman" w:hAnsi="Times New Roman" w:cs="Times New Roman"/>
          <w:sz w:val="28"/>
          <w:szCs w:val="28"/>
        </w:rPr>
        <w:t>用于</w:t>
      </w:r>
      <w:r>
        <w:rPr>
          <w:rFonts w:ascii="Times New Roman" w:hAnsi="Times New Roman" w:cs="Times New Roman"/>
          <w:sz w:val="28"/>
          <w:szCs w:val="28"/>
        </w:rPr>
        <w:t>从VINDICATE分类框架中选取适用的</w:t>
      </w:r>
      <w:bookmarkStart w:id="4" w:name="_Hlk232500957"/>
      <w:r>
        <w:rPr>
          <w:rFonts w:ascii="Times New Roman" w:hAnsi="Times New Roman" w:cs="Times New Roman"/>
          <w:sz w:val="28"/>
          <w:szCs w:val="28"/>
        </w:rPr>
        <w:t>病因类别</w:t>
      </w:r>
      <w:bookmarkEnd w:id="4"/>
      <w:r>
        <w:rPr>
          <w:rFonts w:hint="eastAsia" w:ascii="Times New Roman" w:hAnsi="Times New Roman" w:cs="Times New Roman"/>
          <w:sz w:val="28"/>
          <w:szCs w:val="28"/>
        </w:rPr>
        <w:t>；</w:t>
      </w:r>
    </w:p>
    <w:p w14:paraId="3F1B46B1">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紧急问题清单</w:t>
      </w:r>
      <w:r>
        <w:rPr>
          <w:rFonts w:hint="eastAsia" w:ascii="Times New Roman" w:hAnsi="Times New Roman" w:cs="Times New Roman"/>
          <w:sz w:val="28"/>
          <w:szCs w:val="28"/>
        </w:rPr>
        <w:t>用于</w:t>
      </w:r>
      <w:r>
        <w:rPr>
          <w:rFonts w:ascii="Times New Roman" w:hAnsi="Times New Roman" w:cs="Times New Roman"/>
          <w:sz w:val="28"/>
          <w:szCs w:val="28"/>
        </w:rPr>
        <w:t>归类时强制包含危及生命的诊断类别（如血管性、感染性）</w:t>
      </w:r>
      <w:r>
        <w:rPr>
          <w:rFonts w:hint="eastAsia" w:ascii="Times New Roman" w:hAnsi="Times New Roman" w:cs="Times New Roman"/>
          <w:sz w:val="28"/>
          <w:szCs w:val="28"/>
        </w:rPr>
        <w:t>，</w:t>
      </w:r>
      <w:r>
        <w:rPr>
          <w:rFonts w:ascii="Times New Roman" w:hAnsi="Times New Roman" w:cs="Times New Roman"/>
          <w:sz w:val="28"/>
          <w:szCs w:val="28"/>
        </w:rPr>
        <w:t>并在假设生成中确保即使概率低的致命性疾病也必须列入假设列表</w:t>
      </w:r>
      <w:r>
        <w:rPr>
          <w:rFonts w:hint="eastAsia" w:ascii="Times New Roman" w:hAnsi="Times New Roman" w:cs="Times New Roman"/>
          <w:sz w:val="28"/>
          <w:szCs w:val="28"/>
        </w:rPr>
        <w:t>，其</w:t>
      </w:r>
      <w:r>
        <w:rPr>
          <w:rFonts w:ascii="Times New Roman" w:hAnsi="Times New Roman" w:cs="Times New Roman"/>
          <w:sz w:val="28"/>
          <w:szCs w:val="28"/>
        </w:rPr>
        <w:t>对应于</w:t>
      </w:r>
      <w:r>
        <w:rPr>
          <w:rFonts w:hint="eastAsia" w:ascii="Times New Roman" w:hAnsi="Times New Roman" w:cs="Times New Roman"/>
          <w:sz w:val="28"/>
          <w:szCs w:val="28"/>
        </w:rPr>
        <w:t>“</w:t>
      </w:r>
      <w:r>
        <w:rPr>
          <w:rFonts w:ascii="Times New Roman" w:hAnsi="Times New Roman" w:cs="Times New Roman"/>
          <w:sz w:val="28"/>
          <w:szCs w:val="28"/>
        </w:rPr>
        <w:t>致命性疾病必须列入考虑</w:t>
      </w:r>
      <w:r>
        <w:rPr>
          <w:rFonts w:hint="eastAsia" w:ascii="Times New Roman" w:hAnsi="Times New Roman" w:cs="Times New Roman"/>
          <w:sz w:val="28"/>
          <w:szCs w:val="28"/>
        </w:rPr>
        <w:t>”</w:t>
      </w:r>
      <w:r>
        <w:rPr>
          <w:rFonts w:ascii="Times New Roman" w:hAnsi="Times New Roman" w:cs="Times New Roman"/>
          <w:sz w:val="28"/>
          <w:szCs w:val="28"/>
        </w:rPr>
        <w:t>的临床安全约束。</w:t>
      </w:r>
    </w:p>
    <w:p w14:paraId="67AF0A09">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核心问题清单</w:t>
      </w:r>
      <w:r>
        <w:rPr>
          <w:rFonts w:hint="eastAsia" w:ascii="Times New Roman" w:hAnsi="Times New Roman" w:cs="Times New Roman"/>
          <w:sz w:val="28"/>
          <w:szCs w:val="28"/>
        </w:rPr>
        <w:t>用于在</w:t>
      </w:r>
      <w:r>
        <w:rPr>
          <w:rFonts w:ascii="Times New Roman" w:hAnsi="Times New Roman" w:cs="Times New Roman"/>
          <w:sz w:val="28"/>
          <w:szCs w:val="28"/>
        </w:rPr>
        <w:t>存在多个核心问题（如独立共病、关联因果、治疗矛盾三种类型）时，按照紧急程度</w:t>
      </w:r>
      <w:r>
        <w:rPr>
          <w:rFonts w:hint="eastAsia" w:ascii="Times New Roman" w:hAnsi="Times New Roman" w:cs="Times New Roman"/>
          <w:sz w:val="28"/>
          <w:szCs w:val="28"/>
        </w:rPr>
        <w:t>结合</w:t>
      </w:r>
      <w:r>
        <w:rPr>
          <w:rFonts w:ascii="Times New Roman" w:hAnsi="Times New Roman" w:cs="Times New Roman"/>
          <w:sz w:val="28"/>
          <w:szCs w:val="28"/>
        </w:rPr>
        <w:t>因果优先级排序，依次为每个核心问题触发独立的推理流程</w:t>
      </w:r>
      <w:r>
        <w:rPr>
          <w:rFonts w:hint="eastAsia" w:ascii="Times New Roman" w:hAnsi="Times New Roman" w:cs="Times New Roman"/>
          <w:sz w:val="28"/>
          <w:szCs w:val="28"/>
        </w:rPr>
        <w:t>。</w:t>
      </w:r>
    </w:p>
    <w:p w14:paraId="12A4165D">
      <w:pPr>
        <w:spacing w:line="480" w:lineRule="auto"/>
        <w:ind w:firstLine="556"/>
        <w:rPr>
          <w:rFonts w:ascii="Times New Roman" w:hAnsi="Times New Roman" w:cs="Times New Roman"/>
          <w:sz w:val="28"/>
          <w:szCs w:val="28"/>
        </w:rPr>
      </w:pPr>
      <w:bookmarkStart w:id="5" w:name="_Hlk232496672"/>
      <w:r>
        <w:rPr>
          <w:rFonts w:hint="eastAsia" w:ascii="Times New Roman" w:hAnsi="Times New Roman" w:cs="Times New Roman"/>
          <w:sz w:val="28"/>
          <w:szCs w:val="28"/>
        </w:rPr>
        <w:t>举例说明：</w:t>
      </w:r>
      <w:bookmarkEnd w:id="5"/>
      <w:r>
        <w:rPr>
          <w:rFonts w:hint="eastAsia" w:ascii="Times New Roman" w:hAnsi="Times New Roman" w:cs="Times New Roman"/>
          <w:sz w:val="28"/>
          <w:szCs w:val="28"/>
        </w:rPr>
        <w:t>假设采集到的患者主诉为“右边膝盖又红又肿又痛，碰都不能碰”，经过语义限定词转换后生成的核心问题陈述为：“一位具有心血管危险因素（吸烟+高血压）的50岁男性患者，呈现急性、进行性、局限性的单关节关节炎”。其中，“急性”对应时间进程限定词、“进行性”对应病程模式限定词、“局限性”对应部位特征限定词、“单关节关节炎”对应临床综合征专业化归类。</w:t>
      </w:r>
    </w:p>
    <w:p w14:paraId="3BE9097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包括以下分步骤：</w:t>
      </w:r>
    </w:p>
    <w:p w14:paraId="39EF659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31</w:t>
      </w:r>
      <w:r>
        <w:rPr>
          <w:rFonts w:hint="eastAsia" w:ascii="Times New Roman" w:hAnsi="Times New Roman" w:cs="Times New Roman"/>
          <w:sz w:val="28"/>
          <w:szCs w:val="28"/>
        </w:rPr>
        <w:t>、归类：将</w:t>
      </w:r>
      <w:r>
        <w:rPr>
          <w:rFonts w:ascii="Times New Roman" w:hAnsi="Times New Roman" w:cs="Times New Roman"/>
          <w:bCs/>
          <w:sz w:val="28"/>
          <w:szCs w:val="28"/>
        </w:rPr>
        <w:t>核心问题陈述</w:t>
      </w:r>
      <w:r>
        <w:rPr>
          <w:rFonts w:hint="eastAsia" w:ascii="Times New Roman" w:hAnsi="Times New Roman" w:cs="Times New Roman"/>
          <w:bCs/>
          <w:sz w:val="28"/>
          <w:szCs w:val="28"/>
        </w:rPr>
        <w:t>输入</w:t>
      </w:r>
      <w:r>
        <w:rPr>
          <w:rFonts w:hint="eastAsia" w:ascii="Times New Roman" w:hAnsi="Times New Roman" w:cs="Times New Roman"/>
          <w:sz w:val="28"/>
          <w:szCs w:val="28"/>
        </w:rPr>
        <w:t>LLM，结合患者临床数据从VINDICATE分类框架中选取适用</w:t>
      </w:r>
      <w:r>
        <w:rPr>
          <w:rFonts w:ascii="Times New Roman" w:hAnsi="Times New Roman" w:cs="Times New Roman"/>
          <w:sz w:val="28"/>
          <w:szCs w:val="28"/>
        </w:rPr>
        <w:t>病因类别</w:t>
      </w:r>
      <w:r>
        <w:rPr>
          <w:rFonts w:hint="eastAsia" w:ascii="Times New Roman" w:hAnsi="Times New Roman" w:cs="Times New Roman"/>
          <w:sz w:val="28"/>
          <w:szCs w:val="28"/>
        </w:rPr>
        <w:t>（包括但不限于感染性、结构性/机械性、血管性、肿瘤性、免疫/自身免疫性、代谢/内分泌性、功能性/心因性），本实施例中LLM每步处理量不超过7个类别；</w:t>
      </w:r>
    </w:p>
    <w:p w14:paraId="1A85C70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32</w:t>
      </w:r>
      <w:r>
        <w:rPr>
          <w:rFonts w:hint="eastAsia" w:ascii="Times New Roman" w:hAnsi="Times New Roman" w:cs="Times New Roman"/>
          <w:sz w:val="28"/>
          <w:szCs w:val="28"/>
        </w:rPr>
        <w:t>、逐类展开：对每个选取的</w:t>
      </w:r>
      <w:r>
        <w:rPr>
          <w:rFonts w:ascii="Times New Roman" w:hAnsi="Times New Roman" w:cs="Times New Roman"/>
          <w:sz w:val="28"/>
          <w:szCs w:val="28"/>
        </w:rPr>
        <w:t>病因类别</w:t>
      </w:r>
      <w:r>
        <w:rPr>
          <w:rFonts w:hint="eastAsia" w:ascii="Times New Roman" w:hAnsi="Times New Roman" w:cs="Times New Roman"/>
          <w:sz w:val="28"/>
          <w:szCs w:val="28"/>
        </w:rPr>
        <w:t>分别展开不超过5个具体诊断假设，每个假设包含：假设名称（标准诊断名称，如“社区获得性肺炎”）、初步概率（大/较大/小）、初步依据（引用患者具体数据）、关键鉴别检查（能有效确认或排除该假设的检查项目），本实施例中LM每次处理量不超过5个假设，通过该</w:t>
      </w:r>
      <w:bookmarkStart w:id="6" w:name="_Hlk232501095"/>
      <w:r>
        <w:rPr>
          <w:rFonts w:hint="eastAsia" w:ascii="Times New Roman" w:hAnsi="Times New Roman" w:cs="Times New Roman"/>
          <w:sz w:val="28"/>
          <w:szCs w:val="28"/>
        </w:rPr>
        <w:t>分层-展开策略</w:t>
      </w:r>
      <w:bookmarkEnd w:id="6"/>
      <w:r>
        <w:rPr>
          <w:rFonts w:hint="eastAsia" w:ascii="Times New Roman" w:hAnsi="Times New Roman" w:cs="Times New Roman"/>
          <w:sz w:val="28"/>
          <w:szCs w:val="28"/>
        </w:rPr>
        <w:t>，鉴别诊断的全面覆盖量达到15-35个假设（7类×≤5个/类），同时保持LLM每步处理量不超过5个，解决了扁平列表模式下遗漏率和幻觉率显著上升的问题。</w:t>
      </w:r>
    </w:p>
    <w:p w14:paraId="4735117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中，</w:t>
      </w:r>
      <w:r>
        <w:rPr>
          <w:rFonts w:ascii="Times New Roman" w:hAnsi="Times New Roman" w:cs="Times New Roman"/>
          <w:sz w:val="28"/>
          <w:szCs w:val="28"/>
        </w:rPr>
        <w:t>深度分析步骤</w:t>
      </w:r>
      <w:r>
        <w:rPr>
          <w:rFonts w:hint="eastAsia" w:ascii="Times New Roman" w:hAnsi="Times New Roman" w:cs="Times New Roman"/>
          <w:sz w:val="28"/>
          <w:szCs w:val="28"/>
        </w:rPr>
        <w:t>包括逐假设证据审查、更新可能性、病理生理学推导—跨诊断统一性检查、逆向审视和治疗后验证；本实施例中，</w:t>
      </w:r>
      <w:r>
        <w:rPr>
          <w:rFonts w:ascii="Times New Roman" w:hAnsi="Times New Roman" w:cs="Times New Roman"/>
          <w:sz w:val="28"/>
          <w:szCs w:val="28"/>
        </w:rPr>
        <w:t>不同假设之间的深度分析步骤完全并行执行</w:t>
      </w:r>
      <w:r>
        <w:rPr>
          <w:rFonts w:hint="eastAsia" w:ascii="Times New Roman" w:hAnsi="Times New Roman" w:cs="Times New Roman"/>
          <w:sz w:val="28"/>
          <w:szCs w:val="28"/>
        </w:rPr>
        <w:t>。</w:t>
      </w:r>
    </w:p>
    <w:p w14:paraId="498CFC66">
      <w:pPr>
        <w:spacing w:line="480" w:lineRule="auto"/>
        <w:ind w:firstLine="556"/>
        <w:rPr>
          <w:rFonts w:ascii="Times New Roman" w:hAnsi="Times New Roman" w:cs="Times New Roman"/>
          <w:sz w:val="28"/>
          <w:szCs w:val="28"/>
        </w:rPr>
      </w:pPr>
      <w:bookmarkStart w:id="7" w:name="_Hlk232501936"/>
      <w:r>
        <w:rPr>
          <w:rFonts w:hint="eastAsia" w:ascii="Times New Roman" w:hAnsi="Times New Roman" w:cs="Times New Roman"/>
          <w:sz w:val="28"/>
          <w:szCs w:val="28"/>
        </w:rPr>
        <w:t>S</w:t>
      </w:r>
      <w:r>
        <w:rPr>
          <w:rFonts w:ascii="Times New Roman" w:hAnsi="Times New Roman" w:cs="Times New Roman"/>
          <w:sz w:val="28"/>
          <w:szCs w:val="28"/>
        </w:rPr>
        <w:t>41</w:t>
      </w:r>
      <w:r>
        <w:rPr>
          <w:rFonts w:hint="eastAsia" w:ascii="Times New Roman" w:hAnsi="Times New Roman" w:cs="Times New Roman"/>
          <w:sz w:val="28"/>
          <w:szCs w:val="28"/>
        </w:rPr>
        <w:t>、逐假设证据审查</w:t>
      </w:r>
      <w:bookmarkEnd w:id="7"/>
      <w:r>
        <w:rPr>
          <w:rFonts w:hint="eastAsia" w:ascii="Times New Roman" w:hAnsi="Times New Roman" w:cs="Times New Roman"/>
          <w:sz w:val="28"/>
          <w:szCs w:val="28"/>
        </w:rPr>
        <w:t>：</w:t>
      </w:r>
    </w:p>
    <w:p w14:paraId="7E97428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采用if-then-but-therefore演绎推理框架对每个假设进行证据审查，审查维度包括：诊断标准（参照临床指南）、支持证据（引用患者具体数据）、反对证据、信息缺口和鉴别要点，证据审查完成后整理汇总对比表，生成审查结果；</w:t>
      </w:r>
    </w:p>
    <w:p w14:paraId="204CE91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举例说明：逐假设证据审查中生成的输出格式如下：</w:t>
      </w:r>
    </w:p>
    <w:p w14:paraId="7FB7469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支持证据：</w:t>
      </w:r>
    </w:p>
    <w:p w14:paraId="20D987A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[临床表现]咳嗽、咳白色泡沫痰，双肺湿啰音，提示左心功能不全；</w:t>
      </w:r>
    </w:p>
    <w:p w14:paraId="4CA2C2F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[实验室] 肌钙蛋白T 0.82ng/mL(↑)，提示心肌损伤；</w:t>
      </w:r>
    </w:p>
    <w:p w14:paraId="5B028B2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不支持证据：</w:t>
      </w:r>
    </w:p>
    <w:p w14:paraId="4C87F07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[临床表现]无典型胸痛，症状不典型；</w:t>
      </w:r>
    </w:p>
    <w:p w14:paraId="24D2F9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42</w:t>
      </w:r>
      <w:r>
        <w:rPr>
          <w:rFonts w:hint="eastAsia" w:ascii="Times New Roman" w:hAnsi="Times New Roman" w:cs="Times New Roman"/>
          <w:sz w:val="28"/>
          <w:szCs w:val="28"/>
        </w:rPr>
        <w:t>、</w:t>
      </w:r>
      <w:bookmarkStart w:id="8" w:name="_Hlk232501940"/>
      <w:r>
        <w:rPr>
          <w:rFonts w:hint="eastAsia" w:ascii="Times New Roman" w:hAnsi="Times New Roman" w:cs="Times New Roman"/>
          <w:sz w:val="28"/>
          <w:szCs w:val="28"/>
        </w:rPr>
        <w:t>更新可能性</w:t>
      </w:r>
      <w:bookmarkEnd w:id="8"/>
      <w:r>
        <w:rPr>
          <w:rFonts w:hint="eastAsia" w:ascii="Times New Roman" w:hAnsi="Times New Roman" w:cs="Times New Roman"/>
          <w:sz w:val="28"/>
          <w:szCs w:val="28"/>
        </w:rPr>
        <w:t>：</w:t>
      </w:r>
    </w:p>
    <w:p w14:paraId="65C053B4">
      <w:pPr>
        <w:spacing w:line="480" w:lineRule="auto"/>
        <w:ind w:firstLine="556"/>
        <w:rPr>
          <w:rFonts w:ascii="Times New Roman" w:hAnsi="Times New Roman" w:cs="Times New Roman"/>
          <w:sz w:val="28"/>
          <w:szCs w:val="28"/>
        </w:rPr>
      </w:pPr>
      <w:r>
        <w:rPr>
          <w:rFonts w:ascii="Times New Roman" w:hAnsi="Times New Roman" w:cs="Times New Roman"/>
          <w:sz w:val="28"/>
          <w:szCs w:val="28"/>
        </w:rPr>
        <w:t>综合审查结果，采用五级概率分级对每个假设的可能性置信度做出更新</w:t>
      </w:r>
      <w:r>
        <w:rPr>
          <w:rFonts w:hint="eastAsia" w:ascii="Times New Roman" w:hAnsi="Times New Roman" w:cs="Times New Roman"/>
          <w:sz w:val="28"/>
          <w:szCs w:val="28"/>
        </w:rPr>
        <w:t>，输出</w:t>
      </w:r>
      <w:r>
        <w:rPr>
          <w:rFonts w:ascii="Times New Roman" w:hAnsi="Times New Roman" w:cs="Times New Roman"/>
          <w:sz w:val="28"/>
          <w:szCs w:val="28"/>
        </w:rPr>
        <w:t>可能性评级</w:t>
      </w:r>
      <w:r>
        <w:rPr>
          <w:rFonts w:hint="eastAsia" w:ascii="Times New Roman" w:hAnsi="Times New Roman" w:cs="Times New Roman"/>
          <w:sz w:val="28"/>
          <w:szCs w:val="28"/>
        </w:rPr>
        <w:t>，</w:t>
      </w:r>
      <w:r>
        <w:rPr>
          <w:rFonts w:ascii="Times New Roman" w:hAnsi="Times New Roman" w:cs="Times New Roman"/>
          <w:sz w:val="28"/>
          <w:szCs w:val="28"/>
        </w:rPr>
        <w:t>可能性评级</w:t>
      </w:r>
      <w:r>
        <w:rPr>
          <w:rFonts w:hint="eastAsia" w:ascii="Times New Roman" w:hAnsi="Times New Roman" w:cs="Times New Roman"/>
          <w:sz w:val="28"/>
          <w:szCs w:val="28"/>
        </w:rPr>
        <w:t>包括</w:t>
      </w:r>
      <w:r>
        <w:rPr>
          <w:rFonts w:ascii="Times New Roman" w:hAnsi="Times New Roman" w:cs="Times New Roman"/>
          <w:sz w:val="28"/>
          <w:szCs w:val="28"/>
        </w:rPr>
        <w:t>：排除（&lt;5%）、小（5-25%）、中（25-65%）、大（65-95%）</w:t>
      </w:r>
      <w:r>
        <w:rPr>
          <w:rFonts w:hint="eastAsia" w:ascii="Times New Roman" w:hAnsi="Times New Roman" w:cs="Times New Roman"/>
          <w:sz w:val="28"/>
          <w:szCs w:val="28"/>
        </w:rPr>
        <w:t>和</w:t>
      </w:r>
      <w:r>
        <w:rPr>
          <w:rFonts w:ascii="Times New Roman" w:hAnsi="Times New Roman" w:cs="Times New Roman"/>
          <w:sz w:val="28"/>
          <w:szCs w:val="28"/>
        </w:rPr>
        <w:t>确定（&gt;95%）</w:t>
      </w:r>
      <w:r>
        <w:rPr>
          <w:rFonts w:hint="eastAsia" w:ascii="Times New Roman" w:hAnsi="Times New Roman" w:cs="Times New Roman"/>
          <w:sz w:val="28"/>
          <w:szCs w:val="28"/>
        </w:rPr>
        <w:t>，</w:t>
      </w:r>
      <w:r>
        <w:rPr>
          <w:rFonts w:ascii="Times New Roman" w:hAnsi="Times New Roman" w:cs="Times New Roman"/>
          <w:sz w:val="28"/>
          <w:szCs w:val="28"/>
        </w:rPr>
        <w:t>更新依据包括审查结果、先验概率、似然比</w:t>
      </w:r>
      <w:r>
        <w:rPr>
          <w:rFonts w:hint="eastAsia" w:ascii="Times New Roman" w:hAnsi="Times New Roman" w:cs="Times New Roman"/>
          <w:sz w:val="28"/>
          <w:szCs w:val="28"/>
        </w:rPr>
        <w:t>和</w:t>
      </w:r>
      <w:r>
        <w:rPr>
          <w:rFonts w:ascii="Times New Roman" w:hAnsi="Times New Roman" w:cs="Times New Roman"/>
          <w:sz w:val="28"/>
          <w:szCs w:val="28"/>
        </w:rPr>
        <w:t>信息缺口影响程度</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大</w:t>
      </w:r>
      <w:r>
        <w:rPr>
          <w:rFonts w:hint="eastAsia" w:ascii="Times New Roman" w:hAnsi="Times New Roman" w:cs="Times New Roman"/>
          <w:sz w:val="28"/>
          <w:szCs w:val="28"/>
        </w:rPr>
        <w:t>和确定的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高概率假设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中</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中概率假设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排除</w:t>
      </w:r>
      <w:r>
        <w:rPr>
          <w:rFonts w:hint="eastAsia" w:ascii="Times New Roman" w:hAnsi="Times New Roman" w:cs="Times New Roman"/>
          <w:sz w:val="28"/>
          <w:szCs w:val="28"/>
        </w:rPr>
        <w:t>和</w:t>
      </w:r>
      <w:r>
        <w:rPr>
          <w:rFonts w:ascii="Times New Roman" w:hAnsi="Times New Roman" w:cs="Times New Roman"/>
          <w:sz w:val="28"/>
          <w:szCs w:val="28"/>
        </w:rPr>
        <w:t>小</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低概率假设</w:t>
      </w:r>
      <w:r>
        <w:rPr>
          <w:rFonts w:hint="eastAsia" w:ascii="Times New Roman" w:hAnsi="Times New Roman" w:cs="Times New Roman"/>
          <w:sz w:val="28"/>
          <w:szCs w:val="28"/>
        </w:rPr>
        <w:t>；</w:t>
      </w:r>
    </w:p>
    <w:p w14:paraId="5CCEB28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43</w:t>
      </w:r>
      <w:r>
        <w:rPr>
          <w:rFonts w:hint="eastAsia" w:ascii="Times New Roman" w:hAnsi="Times New Roman" w:cs="Times New Roman"/>
          <w:sz w:val="28"/>
          <w:szCs w:val="28"/>
        </w:rPr>
        <w:t>、</w:t>
      </w:r>
      <w:bookmarkStart w:id="9" w:name="_Hlk232501946"/>
      <w:r>
        <w:rPr>
          <w:rFonts w:hint="eastAsia" w:ascii="Times New Roman" w:hAnsi="Times New Roman" w:cs="Times New Roman"/>
          <w:sz w:val="28"/>
          <w:szCs w:val="28"/>
        </w:rPr>
        <w:t>病理生理学推导—跨诊断统一性检查</w:t>
      </w:r>
      <w:bookmarkEnd w:id="9"/>
      <w:r>
        <w:rPr>
          <w:rFonts w:hint="eastAsia" w:ascii="Times New Roman" w:hAnsi="Times New Roman" w:cs="Times New Roman"/>
          <w:sz w:val="28"/>
          <w:szCs w:val="28"/>
        </w:rPr>
        <w:t>：</w:t>
      </w:r>
    </w:p>
    <w:p w14:paraId="218CBB8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简要一致性确认</w:t>
      </w:r>
      <w:r>
        <w:rPr>
          <w:rFonts w:hint="eastAsia" w:ascii="Times New Roman" w:hAnsi="Times New Roman" w:cs="Times New Roman"/>
          <w:sz w:val="28"/>
          <w:szCs w:val="28"/>
        </w:rPr>
        <w:t>；本实施例中，对于</w:t>
      </w:r>
      <w:r>
        <w:rPr>
          <w:rFonts w:ascii="Times New Roman" w:hAnsi="Times New Roman" w:cs="Times New Roman"/>
          <w:sz w:val="28"/>
          <w:szCs w:val="28"/>
        </w:rPr>
        <w:t>低概率假设仅做</w:t>
      </w:r>
      <w:bookmarkStart w:id="10" w:name="_Hlk232512488"/>
      <w:r>
        <w:rPr>
          <w:rFonts w:ascii="Times New Roman" w:hAnsi="Times New Roman" w:cs="Times New Roman"/>
          <w:sz w:val="28"/>
          <w:szCs w:val="28"/>
        </w:rPr>
        <w:t>简要一致性确认</w:t>
      </w:r>
      <w:bookmarkEnd w:id="10"/>
      <w:r>
        <w:rPr>
          <w:rFonts w:ascii="Times New Roman" w:hAnsi="Times New Roman" w:cs="Times New Roman"/>
          <w:sz w:val="28"/>
          <w:szCs w:val="28"/>
        </w:rPr>
        <w:t>，无需详细病理生理分析</w:t>
      </w:r>
      <w:r>
        <w:rPr>
          <w:rFonts w:hint="eastAsia" w:ascii="Times New Roman" w:hAnsi="Times New Roman" w:cs="Times New Roman"/>
          <w:sz w:val="28"/>
          <w:szCs w:val="28"/>
        </w:rPr>
        <w:t>；</w:t>
      </w:r>
    </w:p>
    <w:p w14:paraId="53793C7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分析其与高概率假设之间的兼容性</w:t>
      </w:r>
      <w:r>
        <w:rPr>
          <w:rFonts w:hint="eastAsia" w:ascii="Times New Roman" w:hAnsi="Times New Roman" w:cs="Times New Roman"/>
          <w:sz w:val="28"/>
          <w:szCs w:val="28"/>
        </w:rPr>
        <w:t>，判断是否兼容，若</w:t>
      </w:r>
      <w:r>
        <w:rPr>
          <w:rFonts w:ascii="Times New Roman" w:hAnsi="Times New Roman" w:cs="Times New Roman"/>
          <w:sz w:val="28"/>
          <w:szCs w:val="28"/>
        </w:rPr>
        <w:t>是</w:t>
      </w:r>
      <w:r>
        <w:rPr>
          <w:rFonts w:hint="eastAsia" w:ascii="Times New Roman" w:hAnsi="Times New Roman" w:cs="Times New Roman"/>
          <w:sz w:val="28"/>
          <w:szCs w:val="28"/>
        </w:rPr>
        <w:t>，</w:t>
      </w:r>
      <w:r>
        <w:rPr>
          <w:rFonts w:ascii="Times New Roman" w:hAnsi="Times New Roman" w:cs="Times New Roman"/>
          <w:sz w:val="28"/>
          <w:szCs w:val="28"/>
        </w:rPr>
        <w:t>则加强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50D25680">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以高概率假设为基准，</w:t>
      </w:r>
      <w:r>
        <w:rPr>
          <w:rFonts w:hint="eastAsia" w:ascii="Times New Roman" w:hAnsi="Times New Roman" w:cs="Times New Roman"/>
          <w:sz w:val="28"/>
          <w:szCs w:val="28"/>
        </w:rPr>
        <w:t>通过中观层检查诊断间一致性（机制冲突、诊断冗余、因果链重叠、治疗矛盾），生成</w:t>
      </w:r>
      <w:r>
        <w:rPr>
          <w:rFonts w:ascii="Times New Roman" w:hAnsi="Times New Roman" w:cs="Times New Roman"/>
          <w:bCs/>
          <w:sz w:val="28"/>
          <w:szCs w:val="28"/>
        </w:rPr>
        <w:t>诊断间一致性评估结论</w:t>
      </w:r>
      <w:r>
        <w:rPr>
          <w:rFonts w:hint="eastAsia" w:ascii="Times New Roman" w:hAnsi="Times New Roman" w:cs="Times New Roman"/>
          <w:bCs/>
          <w:sz w:val="28"/>
          <w:szCs w:val="28"/>
        </w:rPr>
        <w:t>；</w:t>
      </w:r>
    </w:p>
    <w:p w14:paraId="696706F4">
      <w:pPr>
        <w:spacing w:line="480" w:lineRule="auto"/>
        <w:ind w:firstLine="556"/>
        <w:rPr>
          <w:rFonts w:ascii="Times New Roman" w:hAnsi="Times New Roman" w:cs="Times New Roman"/>
          <w:sz w:val="28"/>
          <w:szCs w:val="28"/>
        </w:rPr>
      </w:pPr>
      <w:r>
        <w:rPr>
          <w:rFonts w:hint="eastAsia" w:ascii="Times New Roman" w:hAnsi="Times New Roman" w:cs="Times New Roman"/>
          <w:bCs/>
          <w:sz w:val="28"/>
          <w:szCs w:val="28"/>
        </w:rPr>
        <w:t>其中，</w:t>
      </w:r>
      <w:r>
        <w:rPr>
          <w:rFonts w:ascii="Times New Roman" w:hAnsi="Times New Roman" w:cs="Times New Roman"/>
          <w:bCs/>
          <w:sz w:val="28"/>
          <w:szCs w:val="28"/>
        </w:rPr>
        <w:t>诊断间一致性评估结论明确各高概率假设之间是否存在机制冲突（如心梗需抗凝 vs 消化道出血需止血）、诊断冗余（一个诊断被错误拆成多个）、因果链重叠（一个诊断实为另一个的并发症，应调整为基础病→并发症的层级关系）或治疗矛盾（一个诊断的治疗会加重另一个），并给出</w:t>
      </w:r>
      <w:r>
        <w:rPr>
          <w:rFonts w:hint="eastAsia" w:ascii="Times New Roman" w:hAnsi="Times New Roman" w:cs="Times New Roman"/>
          <w:bCs/>
          <w:sz w:val="28"/>
          <w:szCs w:val="28"/>
        </w:rPr>
        <w:t>“</w:t>
      </w:r>
      <w:r>
        <w:rPr>
          <w:rFonts w:ascii="Times New Roman" w:hAnsi="Times New Roman" w:cs="Times New Roman"/>
          <w:bCs/>
          <w:sz w:val="28"/>
          <w:szCs w:val="28"/>
        </w:rPr>
        <w:t>无冲突/需调整/有矛盾</w:t>
      </w:r>
      <w:r>
        <w:rPr>
          <w:rFonts w:hint="eastAsia" w:ascii="Times New Roman" w:hAnsi="Times New Roman" w:cs="Times New Roman"/>
          <w:bCs/>
          <w:sz w:val="28"/>
          <w:szCs w:val="28"/>
        </w:rPr>
        <w:t>”</w:t>
      </w:r>
      <w:r>
        <w:rPr>
          <w:rFonts w:ascii="Times New Roman" w:hAnsi="Times New Roman" w:cs="Times New Roman"/>
          <w:bCs/>
          <w:sz w:val="28"/>
          <w:szCs w:val="28"/>
        </w:rPr>
        <w:t>的总体判断以及具体的调整建议（如合并诊断、调整优先级、补充检查）</w:t>
      </w:r>
      <w:r>
        <w:rPr>
          <w:rFonts w:hint="eastAsia" w:ascii="Times New Roman" w:hAnsi="Times New Roman" w:cs="Times New Roman"/>
          <w:bCs/>
          <w:sz w:val="28"/>
          <w:szCs w:val="28"/>
        </w:rPr>
        <w:t>，</w:t>
      </w:r>
      <w:r>
        <w:rPr>
          <w:rFonts w:ascii="Times New Roman" w:hAnsi="Times New Roman" w:cs="Times New Roman"/>
          <w:sz w:val="28"/>
          <w:szCs w:val="28"/>
        </w:rPr>
        <w:t xml:space="preserve">该结果直接作为 </w:t>
      </w:r>
      <w:r>
        <w:rPr>
          <w:rFonts w:hint="eastAsia" w:ascii="Times New Roman" w:hAnsi="Times New Roman" w:cs="Times New Roman"/>
          <w:sz w:val="28"/>
          <w:szCs w:val="28"/>
        </w:rPr>
        <w:t>S</w:t>
      </w:r>
      <w:r>
        <w:rPr>
          <w:rFonts w:ascii="Times New Roman" w:hAnsi="Times New Roman" w:cs="Times New Roman"/>
          <w:sz w:val="28"/>
          <w:szCs w:val="28"/>
        </w:rPr>
        <w:t>44</w:t>
      </w:r>
      <w:r>
        <w:rPr>
          <w:rFonts w:ascii="Times New Roman" w:hAnsi="Times New Roman" w:cs="Times New Roman"/>
          <w:bCs/>
          <w:sz w:val="28"/>
          <w:szCs w:val="28"/>
        </w:rPr>
        <w:t>逆向审视</w:t>
      </w:r>
      <w:r>
        <w:rPr>
          <w:rFonts w:ascii="Times New Roman" w:hAnsi="Times New Roman" w:cs="Times New Roman"/>
          <w:sz w:val="28"/>
          <w:szCs w:val="28"/>
        </w:rPr>
        <w:t>的输入依据</w:t>
      </w:r>
      <w:r>
        <w:rPr>
          <w:rFonts w:hint="eastAsia" w:ascii="Times New Roman" w:hAnsi="Times New Roman" w:cs="Times New Roman"/>
          <w:sz w:val="28"/>
          <w:szCs w:val="28"/>
        </w:rPr>
        <w:t>，</w:t>
      </w:r>
      <w:r>
        <w:rPr>
          <w:rFonts w:ascii="Times New Roman" w:hAnsi="Times New Roman" w:cs="Times New Roman"/>
          <w:sz w:val="28"/>
          <w:szCs w:val="28"/>
        </w:rPr>
        <w:t>用于反向质疑时重点复核那些存在矛盾或冲突的诊断组合是否被过度采信</w:t>
      </w:r>
      <w:r>
        <w:rPr>
          <w:rFonts w:hint="eastAsia" w:ascii="Times New Roman" w:hAnsi="Times New Roman" w:cs="Times New Roman"/>
          <w:sz w:val="28"/>
          <w:szCs w:val="28"/>
        </w:rPr>
        <w:t>，</w:t>
      </w:r>
      <w:r>
        <w:rPr>
          <w:rFonts w:ascii="Times New Roman" w:hAnsi="Times New Roman" w:cs="Times New Roman"/>
          <w:sz w:val="28"/>
          <w:szCs w:val="28"/>
        </w:rPr>
        <w:t>同时</w:t>
      </w:r>
      <w:r>
        <w:rPr>
          <w:rFonts w:ascii="Times New Roman" w:hAnsi="Times New Roman" w:cs="Times New Roman"/>
          <w:bCs/>
          <w:sz w:val="28"/>
          <w:szCs w:val="28"/>
        </w:rPr>
        <w:t>也驱动</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bCs/>
          <w:sz w:val="28"/>
          <w:szCs w:val="28"/>
        </w:rPr>
        <w:t>治疗后验证</w:t>
      </w:r>
      <w:r>
        <w:rPr>
          <w:rFonts w:ascii="Times New Roman" w:hAnsi="Times New Roman" w:cs="Times New Roman"/>
          <w:sz w:val="28"/>
          <w:szCs w:val="28"/>
        </w:rPr>
        <w:t>中针对治疗矛盾的假设对制定谨慎的治疗方案和验证指标（如急性心梗合并消化道出血时，需在验证指标矩阵中同时纳入抗凝疗效与出血监测两类指标，形成风险收益比的量化评估框架）</w:t>
      </w:r>
      <w:r>
        <w:rPr>
          <w:rFonts w:hint="eastAsia" w:ascii="Times New Roman" w:hAnsi="Times New Roman" w:cs="Times New Roman"/>
          <w:sz w:val="28"/>
          <w:szCs w:val="28"/>
        </w:rPr>
        <w:t>。</w:t>
      </w:r>
    </w:p>
    <w:p w14:paraId="553F1E09">
      <w:pPr>
        <w:spacing w:line="480" w:lineRule="auto"/>
        <w:ind w:firstLine="556"/>
        <w:rPr>
          <w:rFonts w:ascii="Times New Roman" w:hAnsi="Times New Roman" w:cs="Times New Roman"/>
          <w:sz w:val="28"/>
          <w:szCs w:val="28"/>
        </w:rPr>
      </w:pPr>
      <w:r>
        <w:rPr>
          <w:rFonts w:ascii="Times New Roman" w:hAnsi="Times New Roman" w:cs="Times New Roman"/>
          <w:sz w:val="28"/>
          <w:szCs w:val="28"/>
        </w:rPr>
        <w:t>以高概率假设为基准，</w:t>
      </w:r>
      <w:r>
        <w:rPr>
          <w:rFonts w:hint="eastAsia" w:ascii="Times New Roman" w:hAnsi="Times New Roman" w:cs="Times New Roman"/>
          <w:sz w:val="28"/>
          <w:szCs w:val="28"/>
        </w:rPr>
        <w:t>通过宏观层检查患者整体合理性</w:t>
      </w:r>
      <w:bookmarkStart w:id="11" w:name="_Hlk232512984"/>
      <w:r>
        <w:rPr>
          <w:rFonts w:hint="eastAsia" w:ascii="Times New Roman" w:hAnsi="Times New Roman" w:cs="Times New Roman"/>
          <w:sz w:val="28"/>
          <w:szCs w:val="28"/>
        </w:rPr>
        <w:t>（年龄适配性、危险因素匹配、疾病谱协调性、既往史连贯性、共病模式</w:t>
      </w:r>
      <w:bookmarkEnd w:id="11"/>
      <w:r>
        <w:rPr>
          <w:rFonts w:hint="eastAsia" w:ascii="Times New Roman" w:hAnsi="Times New Roman" w:cs="Times New Roman"/>
          <w:sz w:val="28"/>
          <w:szCs w:val="28"/>
        </w:rPr>
        <w:t>），判断</w:t>
      </w:r>
      <w:r>
        <w:rPr>
          <w:rFonts w:ascii="Times New Roman" w:hAnsi="Times New Roman" w:cs="Times New Roman"/>
          <w:sz w:val="28"/>
          <w:szCs w:val="28"/>
        </w:rPr>
        <w:t>假设与患者的年龄、危险因素、疾病谱、既往史和共病模式</w:t>
      </w:r>
      <w:r>
        <w:rPr>
          <w:rFonts w:hint="eastAsia" w:ascii="Times New Roman" w:hAnsi="Times New Roman" w:cs="Times New Roman"/>
          <w:sz w:val="28"/>
          <w:szCs w:val="28"/>
        </w:rPr>
        <w:t>是否</w:t>
      </w:r>
      <w:r>
        <w:rPr>
          <w:rFonts w:ascii="Times New Roman" w:hAnsi="Times New Roman" w:cs="Times New Roman"/>
          <w:bCs/>
          <w:sz w:val="28"/>
          <w:szCs w:val="28"/>
        </w:rPr>
        <w:t>整体合理</w:t>
      </w:r>
      <w:r>
        <w:rPr>
          <w:rFonts w:hint="eastAsia" w:ascii="Times New Roman" w:hAnsi="Times New Roman" w:cs="Times New Roman"/>
          <w:sz w:val="28"/>
          <w:szCs w:val="28"/>
        </w:rPr>
        <w:t>，若是，则</w:t>
      </w:r>
      <w:r>
        <w:rPr>
          <w:rFonts w:ascii="Times New Roman" w:hAnsi="Times New Roman" w:cs="Times New Roman"/>
          <w:sz w:val="28"/>
          <w:szCs w:val="28"/>
        </w:rPr>
        <w:t>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w:t>
      </w:r>
      <w:r>
        <w:rPr>
          <w:rFonts w:ascii="Times New Roman" w:hAnsi="Times New Roman" w:cs="Times New Roman"/>
          <w:sz w:val="28"/>
          <w:szCs w:val="28"/>
        </w:rPr>
        <w:t>（如</w:t>
      </w:r>
      <w:r>
        <w:rPr>
          <w:rFonts w:hint="eastAsia" w:ascii="Times New Roman" w:hAnsi="Times New Roman" w:cs="Times New Roman"/>
          <w:sz w:val="28"/>
          <w:szCs w:val="28"/>
        </w:rPr>
        <w:t>存在</w:t>
      </w:r>
      <w:r>
        <w:rPr>
          <w:rFonts w:ascii="Times New Roman" w:hAnsi="Times New Roman" w:cs="Times New Roman"/>
          <w:sz w:val="28"/>
          <w:szCs w:val="28"/>
        </w:rPr>
        <w:t>诊断与年龄不匹配、危险因素缺失、共病模式冲突等）</w:t>
      </w:r>
      <w:r>
        <w:rPr>
          <w:rFonts w:hint="eastAsia" w:ascii="Times New Roman" w:hAnsi="Times New Roman" w:cs="Times New Roman"/>
          <w:sz w:val="28"/>
          <w:szCs w:val="28"/>
        </w:rPr>
        <w:t>，则降低该假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ascii="Times New Roman" w:hAnsi="Times New Roman" w:cs="Times New Roman"/>
          <w:bCs/>
          <w:sz w:val="28"/>
          <w:szCs w:val="28"/>
        </w:rPr>
        <w:t>或触发重新审视</w:t>
      </w:r>
      <w:r>
        <w:rPr>
          <w:rFonts w:hint="eastAsia" w:ascii="Times New Roman" w:hAnsi="Times New Roman" w:cs="Times New Roman"/>
          <w:sz w:val="28"/>
          <w:szCs w:val="28"/>
        </w:rPr>
        <w:t>。</w:t>
      </w:r>
    </w:p>
    <w:p w14:paraId="644A02F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经过 S43 调整可能性置信度</w:t>
      </w:r>
      <w:r>
        <w:rPr>
          <w:rFonts w:hint="eastAsia" w:ascii="Times New Roman" w:hAnsi="Times New Roman" w:cs="Times New Roman"/>
          <w:sz w:val="28"/>
          <w:szCs w:val="28"/>
        </w:rPr>
        <w:t>后的假设</w:t>
      </w:r>
      <w:r>
        <w:rPr>
          <w:rFonts w:ascii="Times New Roman" w:hAnsi="Times New Roman" w:cs="Times New Roman"/>
          <w:sz w:val="28"/>
          <w:szCs w:val="28"/>
        </w:rPr>
        <w:t>作为 </w:t>
      </w:r>
      <w:r>
        <w:rPr>
          <w:rFonts w:ascii="Times New Roman" w:hAnsi="Times New Roman" w:cs="Times New Roman"/>
          <w:bCs/>
          <w:sz w:val="28"/>
          <w:szCs w:val="28"/>
        </w:rPr>
        <w:t>S44 逆向审视</w:t>
      </w:r>
      <w:r>
        <w:rPr>
          <w:rFonts w:ascii="Times New Roman" w:hAnsi="Times New Roman" w:cs="Times New Roman"/>
          <w:sz w:val="28"/>
          <w:szCs w:val="28"/>
        </w:rPr>
        <w:t>的输入基准</w:t>
      </w:r>
      <w:r>
        <w:rPr>
          <w:rFonts w:hint="eastAsia" w:ascii="Times New Roman" w:hAnsi="Times New Roman" w:cs="Times New Roman"/>
          <w:sz w:val="28"/>
          <w:szCs w:val="28"/>
        </w:rPr>
        <w:t>：</w:t>
      </w:r>
      <w:r>
        <w:rPr>
          <w:rFonts w:ascii="Times New Roman" w:hAnsi="Times New Roman" w:cs="Times New Roman"/>
          <w:sz w:val="28"/>
          <w:szCs w:val="28"/>
        </w:rPr>
        <w:t>高概率假设被强制假设错误并搜索替代解释，中概率假设接受四项认知偏差检查</w:t>
      </w:r>
      <w:r>
        <w:rPr>
          <w:rFonts w:hint="eastAsia" w:ascii="Times New Roman" w:hAnsi="Times New Roman" w:cs="Times New Roman"/>
          <w:sz w:val="28"/>
          <w:szCs w:val="28"/>
        </w:rPr>
        <w:t>，</w:t>
      </w:r>
      <w:r>
        <w:rPr>
          <w:rFonts w:ascii="Times New Roman" w:hAnsi="Times New Roman" w:cs="Times New Roman"/>
          <w:sz w:val="28"/>
          <w:szCs w:val="28"/>
        </w:rPr>
        <w:t>从而在进入 S45 治疗后验证和 S46 原子化断言输出之前，确保推理结论已通过</w:t>
      </w:r>
      <w:r>
        <w:rPr>
          <w:rFonts w:hint="eastAsia" w:ascii="Times New Roman" w:hAnsi="Times New Roman" w:cs="Times New Roman"/>
          <w:sz w:val="28"/>
          <w:szCs w:val="28"/>
        </w:rPr>
        <w:t>“</w:t>
      </w:r>
      <w:r>
        <w:rPr>
          <w:rFonts w:ascii="Times New Roman" w:hAnsi="Times New Roman" w:cs="Times New Roman"/>
          <w:sz w:val="28"/>
          <w:szCs w:val="28"/>
        </w:rPr>
        <w:t>正向一致性</w:t>
      </w:r>
      <w:r>
        <w:rPr>
          <w:rFonts w:hint="eastAsia" w:ascii="Times New Roman" w:hAnsi="Times New Roman" w:cs="Times New Roman"/>
          <w:sz w:val="28"/>
          <w:szCs w:val="28"/>
        </w:rPr>
        <w:t>”</w:t>
      </w:r>
      <w:r>
        <w:rPr>
          <w:rFonts w:ascii="Times New Roman" w:hAnsi="Times New Roman" w:cs="Times New Roman"/>
          <w:sz w:val="28"/>
          <w:szCs w:val="28"/>
        </w:rPr>
        <w:t>和</w:t>
      </w:r>
      <w:r>
        <w:rPr>
          <w:rFonts w:hint="eastAsia" w:ascii="Times New Roman" w:hAnsi="Times New Roman" w:cs="Times New Roman"/>
          <w:sz w:val="28"/>
          <w:szCs w:val="28"/>
        </w:rPr>
        <w:t>“</w:t>
      </w:r>
      <w:r>
        <w:rPr>
          <w:rFonts w:ascii="Times New Roman" w:hAnsi="Times New Roman" w:cs="Times New Roman"/>
          <w:sz w:val="28"/>
          <w:szCs w:val="28"/>
        </w:rPr>
        <w:t>反向否定性</w:t>
      </w:r>
      <w:r>
        <w:rPr>
          <w:rFonts w:hint="eastAsia" w:ascii="Times New Roman" w:hAnsi="Times New Roman" w:cs="Times New Roman"/>
          <w:sz w:val="28"/>
          <w:szCs w:val="28"/>
        </w:rPr>
        <w:t>”</w:t>
      </w:r>
      <w:r>
        <w:rPr>
          <w:rFonts w:ascii="Times New Roman" w:hAnsi="Times New Roman" w:cs="Times New Roman"/>
          <w:sz w:val="28"/>
          <w:szCs w:val="28"/>
        </w:rPr>
        <w:t>的双重校验。</w:t>
      </w:r>
    </w:p>
    <w:p w14:paraId="67EBFFAC">
      <w:pPr>
        <w:spacing w:line="480" w:lineRule="auto"/>
        <w:ind w:firstLine="556"/>
        <w:rPr>
          <w:rFonts w:ascii="Times New Roman" w:hAnsi="Times New Roman" w:cs="Times New Roman"/>
          <w:sz w:val="28"/>
          <w:szCs w:val="28"/>
        </w:rPr>
      </w:pPr>
      <w:r>
        <w:rPr>
          <w:rFonts w:ascii="Times New Roman" w:hAnsi="Times New Roman" w:cs="Times New Roman"/>
          <w:sz w:val="28"/>
          <w:szCs w:val="28"/>
        </w:rPr>
        <w:t>同一假设在不同可能性评级下的示例：若急性心梗被标记为</w:t>
      </w:r>
      <w:r>
        <w:rPr>
          <w:rFonts w:hint="eastAsia" w:ascii="Times New Roman" w:hAnsi="Times New Roman" w:cs="Times New Roman"/>
          <w:sz w:val="28"/>
          <w:szCs w:val="28"/>
        </w:rPr>
        <w:t>“</w:t>
      </w:r>
      <w:r>
        <w:rPr>
          <w:rFonts w:ascii="Times New Roman" w:hAnsi="Times New Roman" w:cs="Times New Roman"/>
          <w:sz w:val="28"/>
          <w:szCs w:val="28"/>
        </w:rPr>
        <w:t>大</w:t>
      </w:r>
      <w:r>
        <w:rPr>
          <w:rFonts w:hint="eastAsia" w:ascii="Times New Roman" w:hAnsi="Times New Roman" w:cs="Times New Roman"/>
          <w:sz w:val="28"/>
          <w:szCs w:val="28"/>
        </w:rPr>
        <w:t>”</w:t>
      </w:r>
      <w:r>
        <w:rPr>
          <w:rFonts w:ascii="Times New Roman" w:hAnsi="Times New Roman" w:cs="Times New Roman"/>
          <w:sz w:val="28"/>
          <w:szCs w:val="28"/>
        </w:rPr>
        <w:t>而同时合并消化道出血，</w:t>
      </w:r>
      <w:r>
        <w:rPr>
          <w:rFonts w:hint="eastAsia" w:ascii="Times New Roman" w:hAnsi="Times New Roman" w:cs="Times New Roman"/>
          <w:sz w:val="28"/>
          <w:szCs w:val="28"/>
        </w:rPr>
        <w:t>S</w:t>
      </w:r>
      <w:r>
        <w:rPr>
          <w:rFonts w:ascii="Times New Roman" w:hAnsi="Times New Roman" w:cs="Times New Roman"/>
          <w:sz w:val="28"/>
          <w:szCs w:val="28"/>
        </w:rPr>
        <w:t>43需着重检查两个诊断间的兼容性</w:t>
      </w:r>
      <w:r>
        <w:rPr>
          <w:rFonts w:hint="eastAsia" w:ascii="Times New Roman" w:hAnsi="Times New Roman" w:cs="Times New Roman"/>
          <w:sz w:val="28"/>
          <w:szCs w:val="28"/>
        </w:rPr>
        <w:t>，判断是否</w:t>
      </w:r>
      <w:r>
        <w:rPr>
          <w:rFonts w:ascii="Times New Roman" w:hAnsi="Times New Roman" w:cs="Times New Roman"/>
          <w:sz w:val="28"/>
          <w:szCs w:val="28"/>
        </w:rPr>
        <w:t>治疗矛盾（抗凝vs止血）</w:t>
      </w:r>
      <w:r>
        <w:rPr>
          <w:rFonts w:hint="eastAsia" w:ascii="Times New Roman" w:hAnsi="Times New Roman" w:cs="Times New Roman"/>
          <w:sz w:val="28"/>
          <w:szCs w:val="28"/>
        </w:rPr>
        <w:t>；</w:t>
      </w:r>
    </w:p>
    <w:p w14:paraId="4D719F25">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44</w:t>
      </w:r>
      <w:r>
        <w:rPr>
          <w:rFonts w:hint="eastAsia" w:ascii="Times New Roman" w:hAnsi="Times New Roman" w:cs="Times New Roman"/>
          <w:sz w:val="28"/>
          <w:szCs w:val="28"/>
        </w:rPr>
        <w:t>、</w:t>
      </w:r>
      <w:r>
        <w:rPr>
          <w:rFonts w:ascii="Times New Roman" w:hAnsi="Times New Roman" w:cs="Times New Roman"/>
          <w:bCs/>
          <w:sz w:val="28"/>
          <w:szCs w:val="28"/>
        </w:rPr>
        <w:t>逆向审视</w:t>
      </w:r>
      <w:r>
        <w:rPr>
          <w:rFonts w:hint="eastAsia" w:ascii="Times New Roman" w:hAnsi="Times New Roman" w:cs="Times New Roman"/>
          <w:bCs/>
          <w:sz w:val="28"/>
          <w:szCs w:val="28"/>
        </w:rPr>
        <w:t>：</w:t>
      </w:r>
    </w:p>
    <w:p w14:paraId="76AAE22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强制假设该诊断是错误的，</w:t>
      </w:r>
      <w:r>
        <w:rPr>
          <w:rFonts w:hint="eastAsia" w:ascii="Times New Roman" w:hAnsi="Times New Roman" w:cs="Times New Roman"/>
          <w:sz w:val="28"/>
          <w:szCs w:val="28"/>
        </w:rPr>
        <w:t>并</w:t>
      </w:r>
      <w:r>
        <w:rPr>
          <w:rFonts w:ascii="Times New Roman" w:hAnsi="Times New Roman" w:cs="Times New Roman"/>
          <w:sz w:val="28"/>
          <w:szCs w:val="28"/>
        </w:rPr>
        <w:t>搜索替代解释</w:t>
      </w:r>
      <w:r>
        <w:rPr>
          <w:rFonts w:hint="eastAsia" w:ascii="Times New Roman" w:hAnsi="Times New Roman" w:cs="Times New Roman"/>
          <w:sz w:val="28"/>
          <w:szCs w:val="28"/>
        </w:rPr>
        <w:t>；</w:t>
      </w:r>
    </w:p>
    <w:p w14:paraId="38B7B15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，根据四种认知偏差检查清单对该假设进行</w:t>
      </w:r>
      <w:r>
        <w:rPr>
          <w:rFonts w:ascii="Times New Roman" w:hAnsi="Times New Roman" w:cs="Times New Roman"/>
          <w:sz w:val="28"/>
          <w:szCs w:val="28"/>
        </w:rPr>
        <w:t>检查</w:t>
      </w:r>
      <w:r>
        <w:rPr>
          <w:rFonts w:hint="eastAsia" w:ascii="Times New Roman" w:hAnsi="Times New Roman" w:cs="Times New Roman"/>
          <w:sz w:val="28"/>
          <w:szCs w:val="28"/>
        </w:rPr>
        <w:t>，</w:t>
      </w:r>
      <w:bookmarkStart w:id="12" w:name="_Hlk232514542"/>
      <w:r>
        <w:rPr>
          <w:rFonts w:ascii="Times New Roman" w:hAnsi="Times New Roman" w:cs="Times New Roman"/>
          <w:sz w:val="28"/>
          <w:szCs w:val="28"/>
        </w:rPr>
        <w:t>检查</w:t>
      </w:r>
      <w:bookmarkEnd w:id="12"/>
      <w:r>
        <w:rPr>
          <w:rFonts w:ascii="Times New Roman" w:hAnsi="Times New Roman" w:cs="Times New Roman"/>
          <w:sz w:val="28"/>
          <w:szCs w:val="28"/>
        </w:rPr>
        <w:t>强度与可能性置信度正相关</w:t>
      </w:r>
      <w:r>
        <w:rPr>
          <w:rFonts w:hint="eastAsia" w:ascii="Times New Roman" w:hAnsi="Times New Roman" w:cs="Times New Roman"/>
          <w:sz w:val="28"/>
          <w:szCs w:val="28"/>
        </w:rPr>
        <w:t>，四种认知偏差检查清单包括可得性偏差、锚定效应、确认偏差和代表性偏差，</w:t>
      </w:r>
      <w:r>
        <w:rPr>
          <w:rFonts w:ascii="Times New Roman" w:hAnsi="Times New Roman" w:cs="Times New Roman"/>
          <w:bCs/>
          <w:sz w:val="28"/>
          <w:szCs w:val="28"/>
        </w:rPr>
        <w:t>若</w:t>
      </w:r>
      <w:r>
        <w:rPr>
          <w:rFonts w:hint="eastAsia" w:ascii="Times New Roman" w:hAnsi="Times New Roman" w:cs="Times New Roman"/>
          <w:bCs/>
          <w:sz w:val="28"/>
          <w:szCs w:val="28"/>
        </w:rPr>
        <w:t>检查结果为</w:t>
      </w:r>
      <w:r>
        <w:rPr>
          <w:rFonts w:ascii="Times New Roman" w:hAnsi="Times New Roman" w:cs="Times New Roman"/>
          <w:bCs/>
          <w:sz w:val="28"/>
          <w:szCs w:val="28"/>
        </w:rPr>
        <w:t>偏差则</w:t>
      </w:r>
      <w:r>
        <w:rPr>
          <w:rFonts w:hint="eastAsia" w:ascii="Times New Roman" w:hAnsi="Times New Roman" w:cs="Times New Roman"/>
          <w:sz w:val="28"/>
          <w:szCs w:val="28"/>
        </w:rPr>
        <w:t>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r>
        <w:rPr>
          <w:rFonts w:ascii="Times New Roman" w:hAnsi="Times New Roman" w:cs="Times New Roman"/>
          <w:bCs/>
          <w:sz w:val="28"/>
          <w:szCs w:val="28"/>
        </w:rPr>
        <w:t>若</w:t>
      </w:r>
      <w:r>
        <w:rPr>
          <w:rFonts w:hint="eastAsia" w:ascii="Times New Roman" w:hAnsi="Times New Roman" w:cs="Times New Roman"/>
          <w:bCs/>
          <w:sz w:val="28"/>
          <w:szCs w:val="28"/>
        </w:rPr>
        <w:t>检查结果为通过</w:t>
      </w:r>
      <w:r>
        <w:rPr>
          <w:rFonts w:ascii="Times New Roman" w:hAnsi="Times New Roman" w:cs="Times New Roman"/>
          <w:bCs/>
          <w:sz w:val="28"/>
          <w:szCs w:val="28"/>
        </w:rPr>
        <w:t>则维持或</w:t>
      </w:r>
      <w:r>
        <w:rPr>
          <w:rFonts w:hint="eastAsia" w:ascii="Times New Roman" w:hAnsi="Times New Roman" w:cs="Times New Roman"/>
          <w:bCs/>
          <w:sz w:val="28"/>
          <w:szCs w:val="28"/>
        </w:rPr>
        <w:t>加强</w:t>
      </w:r>
      <w:r>
        <w:rPr>
          <w:rFonts w:hint="eastAsia" w:ascii="Times New Roman" w:hAnsi="Times New Roman" w:cs="Times New Roman"/>
          <w:sz w:val="28"/>
          <w:szCs w:val="28"/>
        </w:rPr>
        <w:t>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64B080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上述</w:t>
      </w:r>
      <w:r>
        <w:rPr>
          <w:rFonts w:ascii="Times New Roman" w:hAnsi="Times New Roman" w:cs="Times New Roman"/>
          <w:sz w:val="28"/>
          <w:szCs w:val="28"/>
        </w:rPr>
        <w:t>检查</w:t>
      </w:r>
      <w:r>
        <w:rPr>
          <w:rFonts w:hint="eastAsia" w:ascii="Times New Roman" w:hAnsi="Times New Roman" w:cs="Times New Roman"/>
          <w:sz w:val="28"/>
          <w:szCs w:val="28"/>
        </w:rPr>
        <w:t>的实现方式为：针对可得性偏差，</w:t>
      </w:r>
      <w:r>
        <w:rPr>
          <w:rFonts w:ascii="Times New Roman" w:hAnsi="Times New Roman" w:cs="Times New Roman"/>
          <w:sz w:val="28"/>
          <w:szCs w:val="28"/>
        </w:rPr>
        <w:t>检查</w:t>
      </w:r>
      <w:r>
        <w:rPr>
          <w:rFonts w:hint="eastAsia" w:ascii="Times New Roman" w:hAnsi="Times New Roman" w:cs="Times New Roman"/>
          <w:sz w:val="28"/>
          <w:szCs w:val="28"/>
        </w:rPr>
        <w:t>“是否因最近见过类似病例而高估该诊断”，针对锚定效应，</w:t>
      </w:r>
      <w:r>
        <w:rPr>
          <w:rFonts w:ascii="Times New Roman" w:hAnsi="Times New Roman" w:cs="Times New Roman"/>
          <w:sz w:val="28"/>
          <w:szCs w:val="28"/>
        </w:rPr>
        <w:t>检查</w:t>
      </w:r>
      <w:r>
        <w:rPr>
          <w:rFonts w:hint="eastAsia" w:ascii="Times New Roman" w:hAnsi="Times New Roman" w:cs="Times New Roman"/>
          <w:sz w:val="28"/>
          <w:szCs w:val="28"/>
        </w:rPr>
        <w:t>“是否过度依赖最初信息而调整不足”，针对确认偏差，</w:t>
      </w:r>
      <w:r>
        <w:rPr>
          <w:rFonts w:ascii="Times New Roman" w:hAnsi="Times New Roman" w:cs="Times New Roman"/>
          <w:sz w:val="28"/>
          <w:szCs w:val="28"/>
        </w:rPr>
        <w:t>检查</w:t>
      </w:r>
      <w:r>
        <w:rPr>
          <w:rFonts w:hint="eastAsia" w:ascii="Times New Roman" w:hAnsi="Times New Roman" w:cs="Times New Roman"/>
          <w:sz w:val="28"/>
          <w:szCs w:val="28"/>
        </w:rPr>
        <w:t>“是否只关注支持性证据而忽略反对证据”，针对代表性偏差，</w:t>
      </w:r>
      <w:r>
        <w:rPr>
          <w:rFonts w:ascii="Times New Roman" w:hAnsi="Times New Roman" w:cs="Times New Roman"/>
          <w:sz w:val="28"/>
          <w:szCs w:val="28"/>
        </w:rPr>
        <w:t>检查</w:t>
      </w:r>
      <w:r>
        <w:rPr>
          <w:rFonts w:hint="eastAsia" w:ascii="Times New Roman" w:hAnsi="Times New Roman" w:cs="Times New Roman"/>
          <w:sz w:val="28"/>
          <w:szCs w:val="28"/>
        </w:rPr>
        <w:t>“是否因表现典型而忽略不匹配细节”。</w:t>
      </w:r>
    </w:p>
    <w:p w14:paraId="15C4E9C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调整可能性置信度</w:t>
      </w:r>
      <w:r>
        <w:rPr>
          <w:rFonts w:hint="eastAsia" w:ascii="Times New Roman" w:hAnsi="Times New Roman" w:cs="Times New Roman"/>
          <w:sz w:val="28"/>
          <w:szCs w:val="28"/>
        </w:rPr>
        <w:t>后的假设</w:t>
      </w:r>
      <w:r>
        <w:rPr>
          <w:rFonts w:ascii="Times New Roman" w:hAnsi="Times New Roman" w:cs="Times New Roman"/>
          <w:sz w:val="28"/>
          <w:szCs w:val="28"/>
        </w:rPr>
        <w:t>进入 </w:t>
      </w:r>
      <w:r>
        <w:rPr>
          <w:rFonts w:ascii="Times New Roman" w:hAnsi="Times New Roman" w:cs="Times New Roman"/>
          <w:bCs/>
          <w:sz w:val="28"/>
          <w:szCs w:val="28"/>
        </w:rPr>
        <w:t>S45治疗后验证</w:t>
      </w:r>
      <w:r>
        <w:rPr>
          <w:rFonts w:hint="eastAsia" w:ascii="Times New Roman" w:hAnsi="Times New Roman" w:cs="Times New Roman"/>
          <w:bCs/>
          <w:sz w:val="28"/>
          <w:szCs w:val="28"/>
        </w:rPr>
        <w:t>，</w:t>
      </w:r>
      <w:r>
        <w:rPr>
          <w:rFonts w:ascii="Times New Roman" w:hAnsi="Times New Roman" w:cs="Times New Roman"/>
          <w:bCs/>
          <w:sz w:val="28"/>
          <w:szCs w:val="28"/>
        </w:rPr>
        <w:t>中概率假设在此步骤中聚焦于收集确证性证据（关键单一检查即可明确），验证指标的设计也以"确认或排除"为目标；最终在 </w:t>
      </w:r>
      <w:r>
        <w:rPr>
          <w:rFonts w:ascii="Times New Roman" w:hAnsi="Times New Roman" w:cs="Times New Roman"/>
          <w:sz w:val="28"/>
          <w:szCs w:val="28"/>
        </w:rPr>
        <w:t>S46</w:t>
      </w:r>
      <w:r>
        <w:rPr>
          <w:rFonts w:ascii="Times New Roman" w:hAnsi="Times New Roman" w:cs="Times New Roman"/>
          <w:bCs/>
          <w:sz w:val="28"/>
          <w:szCs w:val="28"/>
        </w:rPr>
        <w:t> 中，所有经偏差清洗和验证后的假设汇总为排序假设列表，渲染为原子化断言清单供医生逐项判定。整个过程确保中概率假设不会被</w:t>
      </w:r>
      <w:r>
        <w:rPr>
          <w:rFonts w:hint="eastAsia" w:ascii="Times New Roman" w:hAnsi="Times New Roman" w:cs="Times New Roman"/>
          <w:bCs/>
          <w:sz w:val="28"/>
          <w:szCs w:val="28"/>
        </w:rPr>
        <w:t>“</w:t>
      </w:r>
      <w:r>
        <w:rPr>
          <w:rFonts w:ascii="Times New Roman" w:hAnsi="Times New Roman" w:cs="Times New Roman"/>
          <w:bCs/>
          <w:sz w:val="28"/>
          <w:szCs w:val="28"/>
        </w:rPr>
        <w:t>过早关闭</w:t>
      </w:r>
      <w:r>
        <w:rPr>
          <w:rFonts w:hint="eastAsia" w:ascii="Times New Roman" w:hAnsi="Times New Roman" w:cs="Times New Roman"/>
          <w:bCs/>
          <w:sz w:val="28"/>
          <w:szCs w:val="28"/>
        </w:rPr>
        <w:t>”</w:t>
      </w:r>
      <w:r>
        <w:rPr>
          <w:rFonts w:ascii="Times New Roman" w:hAnsi="Times New Roman" w:cs="Times New Roman"/>
          <w:bCs/>
          <w:sz w:val="28"/>
          <w:szCs w:val="28"/>
        </w:rPr>
        <w:t>式思维所扭曲，也不会因认知偏见被不当升级或遗漏</w:t>
      </w:r>
      <w:r>
        <w:rPr>
          <w:rFonts w:hint="eastAsia" w:ascii="Times New Roman" w:hAnsi="Times New Roman" w:cs="Times New Roman"/>
          <w:bCs/>
          <w:sz w:val="28"/>
          <w:szCs w:val="28"/>
        </w:rPr>
        <w:t>。</w:t>
      </w:r>
    </w:p>
    <w:p w14:paraId="4060301D">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w:t>
      </w:r>
      <w:bookmarkStart w:id="13" w:name="_Hlk232501958"/>
      <w:r>
        <w:rPr>
          <w:rFonts w:hint="eastAsia" w:ascii="Times New Roman" w:hAnsi="Times New Roman" w:cs="Times New Roman"/>
          <w:bCs/>
          <w:sz w:val="28"/>
          <w:szCs w:val="28"/>
        </w:rPr>
        <w:t>治疗后验证</w:t>
      </w:r>
      <w:bookmarkEnd w:id="13"/>
      <w:r>
        <w:rPr>
          <w:rFonts w:hint="eastAsia" w:ascii="Times New Roman" w:hAnsi="Times New Roman" w:cs="Times New Roman"/>
          <w:bCs/>
          <w:sz w:val="28"/>
          <w:szCs w:val="28"/>
        </w:rPr>
        <w:t>：</w:t>
      </w:r>
    </w:p>
    <w:p w14:paraId="2BEFA1D2">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（1）</w:t>
      </w:r>
      <w:r>
        <w:rPr>
          <w:rFonts w:ascii="Times New Roman" w:hAnsi="Times New Roman" w:cs="Times New Roman"/>
          <w:sz w:val="28"/>
          <w:szCs w:val="28"/>
        </w:rPr>
        <w:t>治疗回顾</w:t>
      </w:r>
      <w:r>
        <w:rPr>
          <w:rFonts w:hint="eastAsia" w:ascii="Times New Roman" w:hAnsi="Times New Roman" w:cs="Times New Roman"/>
          <w:sz w:val="28"/>
          <w:szCs w:val="28"/>
        </w:rPr>
        <w:t>：</w:t>
      </w:r>
    </w:p>
    <w:p w14:paraId="539B65D2">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，引用已有诊断方案的治疗效果，进行</w:t>
      </w:r>
      <w:r>
        <w:rPr>
          <w:rFonts w:ascii="Times New Roman" w:hAnsi="Times New Roman" w:cs="Times New Roman"/>
          <w:sz w:val="28"/>
          <w:szCs w:val="28"/>
        </w:rPr>
        <w:t>详细的特异性治疗反应评估（引用具体治疗药物和疗效指标）</w:t>
      </w:r>
      <w:r>
        <w:rPr>
          <w:rFonts w:hint="eastAsia" w:ascii="Times New Roman" w:hAnsi="Times New Roman" w:cs="Times New Roman"/>
          <w:sz w:val="28"/>
          <w:szCs w:val="28"/>
        </w:rPr>
        <w:t>，评估结果作为前瞻设定验证指标的</w:t>
      </w:r>
      <w:r>
        <w:rPr>
          <w:rFonts w:ascii="Times New Roman" w:hAnsi="Times New Roman" w:cs="Times New Roman"/>
          <w:bCs/>
          <w:sz w:val="28"/>
          <w:szCs w:val="28"/>
        </w:rPr>
        <w:t>输入依据</w:t>
      </w:r>
      <w:r>
        <w:rPr>
          <w:rFonts w:hint="eastAsia" w:ascii="Times New Roman" w:hAnsi="Times New Roman" w:cs="Times New Roman"/>
          <w:bCs/>
          <w:sz w:val="28"/>
          <w:szCs w:val="28"/>
        </w:rPr>
        <w:t>：</w:t>
      </w:r>
      <w:r>
        <w:rPr>
          <w:rFonts w:ascii="Times New Roman" w:hAnsi="Times New Roman" w:cs="Times New Roman"/>
          <w:bCs/>
          <w:sz w:val="28"/>
          <w:szCs w:val="28"/>
        </w:rPr>
        <w:t>若治疗反应良好，</w:t>
      </w:r>
      <w:commentRangeStart w:id="0"/>
      <w:r>
        <w:rPr>
          <w:rFonts w:ascii="Times New Roman" w:hAnsi="Times New Roman" w:cs="Times New Roman"/>
          <w:bCs/>
          <w:sz w:val="28"/>
          <w:szCs w:val="28"/>
        </w:rPr>
        <w:t>验证指标聚焦于巩固性监测（如定期复查、疗效维持评估）</w:t>
      </w:r>
      <w:commentRangeEnd w:id="0"/>
      <w:r>
        <w:rPr>
          <w:rStyle w:val="15"/>
        </w:rPr>
        <w:commentReference w:id="0"/>
      </w:r>
      <w:r>
        <w:rPr>
          <w:rFonts w:ascii="Times New Roman" w:hAnsi="Times New Roman" w:cs="Times New Roman"/>
          <w:bCs/>
          <w:sz w:val="28"/>
          <w:szCs w:val="28"/>
        </w:rPr>
        <w:t>；若治疗反应不充分或存疑，</w:t>
      </w:r>
      <w:commentRangeStart w:id="1"/>
      <w:r>
        <w:rPr>
          <w:rFonts w:ascii="Times New Roman" w:hAnsi="Times New Roman" w:cs="Times New Roman"/>
          <w:bCs/>
          <w:sz w:val="28"/>
          <w:szCs w:val="28"/>
        </w:rPr>
        <w:t>验证指标则侧重补充性检查以进一步确证或排除</w:t>
      </w:r>
      <w:commentRangeEnd w:id="1"/>
      <w:r>
        <w:rPr>
          <w:rStyle w:val="15"/>
        </w:rPr>
        <w:commentReference w:id="1"/>
      </w:r>
      <w:r>
        <w:rPr>
          <w:rFonts w:hint="eastAsia" w:ascii="Times New Roman" w:hAnsi="Times New Roman" w:cs="Times New Roman"/>
          <w:bCs/>
          <w:sz w:val="28"/>
          <w:szCs w:val="28"/>
        </w:rPr>
        <w:t>。</w:t>
      </w:r>
    </w:p>
    <w:p w14:paraId="0776B30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非特异性治疗反应评估</w:t>
      </w:r>
      <w:r>
        <w:rPr>
          <w:rFonts w:hint="eastAsia" w:ascii="Times New Roman" w:hAnsi="Times New Roman" w:cs="Times New Roman"/>
          <w:sz w:val="28"/>
          <w:szCs w:val="28"/>
        </w:rPr>
        <w:t>；</w:t>
      </w:r>
    </w:p>
    <w:p w14:paraId="7F9C9CE1">
      <w:pPr>
        <w:spacing w:line="480" w:lineRule="auto"/>
        <w:ind w:firstLine="556"/>
        <w:rPr>
          <w:rFonts w:ascii="Times New Roman" w:hAnsi="Times New Roman" w:cs="Times New Roman"/>
          <w:sz w:val="28"/>
          <w:szCs w:val="28"/>
        </w:rPr>
      </w:pPr>
      <w:r>
        <w:rPr>
          <w:rFonts w:ascii="Times New Roman" w:hAnsi="Times New Roman" w:cs="Times New Roman"/>
          <w:sz w:val="28"/>
          <w:szCs w:val="28"/>
        </w:rPr>
        <w:t>低概率假设在治疗回顾中仅需评估非特异性治疗反应（如一般支持治疗后症状是否缓解），因为其本身概率低，不需要像高概率假设那样引用具体治疗药物和疗效指标进行深度分析。评估后，</w:t>
      </w:r>
      <w:r>
        <w:rPr>
          <w:rFonts w:ascii="Times New Roman" w:hAnsi="Times New Roman" w:cs="Times New Roman"/>
          <w:b/>
          <w:sz w:val="28"/>
          <w:szCs w:val="28"/>
        </w:rPr>
        <w:t>直接衔接到紧随其后的"前瞻设定验证指标"</w:t>
      </w:r>
      <w:r>
        <w:rPr>
          <w:rFonts w:ascii="Times New Roman" w:hAnsi="Times New Roman" w:cs="Times New Roman"/>
          <w:sz w:val="28"/>
          <w:szCs w:val="28"/>
        </w:rPr>
        <w:t>——</w:t>
      </w:r>
      <w:commentRangeStart w:id="2"/>
      <w:r>
        <w:rPr>
          <w:rFonts w:ascii="Times New Roman" w:hAnsi="Times New Roman" w:cs="Times New Roman"/>
          <w:sz w:val="28"/>
          <w:szCs w:val="28"/>
        </w:rPr>
        <w:t>低概率假设的验证指标聚焦于</w:t>
      </w:r>
      <w:r>
        <w:rPr>
          <w:rFonts w:ascii="Times New Roman" w:hAnsi="Times New Roman" w:cs="Times New Roman"/>
          <w:b/>
          <w:sz w:val="28"/>
          <w:szCs w:val="28"/>
        </w:rPr>
        <w:t>排除确认</w:t>
      </w:r>
      <w:commentRangeEnd w:id="2"/>
      <w:r>
        <w:rPr>
          <w:rStyle w:val="15"/>
        </w:rPr>
        <w:commentReference w:id="2"/>
      </w:r>
      <w:r>
        <w:rPr>
          <w:rFonts w:ascii="Times New Roman" w:hAnsi="Times New Roman" w:cs="Times New Roman"/>
          <w:sz w:val="28"/>
          <w:szCs w:val="28"/>
        </w:rPr>
        <w:t>，即回顾已有数据确认排除依据是否充分（如关键阴性检查结果是否可靠、鉴别要点是否已覆盖），而非像中概率假设那样去主动收集新的确证性证据。完成排除确认后，该假设连同其"已排除/低概率"的最终评级一并进入 </w:t>
      </w:r>
      <w:r>
        <w:rPr>
          <w:rFonts w:ascii="Times New Roman" w:hAnsi="Times New Roman" w:cs="Times New Roman"/>
          <w:b/>
          <w:sz w:val="28"/>
          <w:szCs w:val="28"/>
        </w:rPr>
        <w:t>S46</w:t>
      </w:r>
      <w:r>
        <w:rPr>
          <w:rFonts w:ascii="Times New Roman" w:hAnsi="Times New Roman" w:cs="Times New Roman"/>
          <w:sz w:val="28"/>
          <w:szCs w:val="28"/>
        </w:rPr>
        <w:t>：LLM 将其纳入排序假设列表的末端，渲染为原子化断言清单中的低优先级条目，医生可在界面上确认"同意排除"或重新评估——若医生认可排除结论，该断言被保留但标记为已排除状态，不再进入下游推理；若医生有异议，则可将其手动升级重新纳入考虑。</w:t>
      </w:r>
      <w:bookmarkStart w:id="17" w:name="_GoBack"/>
      <w:bookmarkEnd w:id="17"/>
    </w:p>
    <w:p w14:paraId="7253270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（2）前瞻设定验证指标：</w:t>
      </w:r>
    </w:p>
    <w:p w14:paraId="052916D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输出完整的验证标准矩阵</w:t>
      </w:r>
      <w:r>
        <w:rPr>
          <w:rFonts w:hint="eastAsia" w:ascii="Times New Roman" w:hAnsi="Times New Roman" w:cs="Times New Roman"/>
          <w:sz w:val="28"/>
          <w:szCs w:val="28"/>
        </w:rPr>
        <w:t>；</w:t>
      </w:r>
    </w:p>
    <w:p w14:paraId="0E4A8818">
      <w:pPr>
        <w:spacing w:line="480" w:lineRule="auto"/>
        <w:ind w:firstLine="556"/>
        <w:rPr>
          <w:rFonts w:ascii="Times New Roman" w:hAnsi="Times New Roman" w:cs="Times New Roman"/>
          <w:sz w:val="28"/>
          <w:szCs w:val="28"/>
        </w:rPr>
      </w:pPr>
    </w:p>
    <w:p w14:paraId="4810230B">
      <w:pPr>
        <w:spacing w:line="480" w:lineRule="auto"/>
        <w:ind w:firstLine="556"/>
        <w:rPr>
          <w:rFonts w:ascii="Times New Roman" w:hAnsi="Times New Roman" w:cs="Times New Roman"/>
          <w:sz w:val="28"/>
          <w:szCs w:val="28"/>
        </w:rPr>
      </w:pPr>
      <w:r>
        <w:rPr>
          <w:rFonts w:ascii="Times New Roman" w:hAnsi="Times New Roman" w:cs="Times New Roman"/>
          <w:b/>
          <w:sz w:val="28"/>
          <w:szCs w:val="28"/>
        </w:rPr>
        <w:t>由前端推理编排层组装 S45 的 Prompt 模板（含指令和输出格式），通过 </w:t>
      </w:r>
      <w:r>
        <w:rPr>
          <w:rFonts w:ascii="Times New Roman" w:hAnsi="Times New Roman" w:cs="Times New Roman"/>
          <w:sz w:val="28"/>
          <w:szCs w:val="28"/>
        </w:rPr>
        <w:t>analyzeLLM</w:t>
      </w:r>
      <w:r>
        <w:rPr>
          <w:rFonts w:ascii="Times New Roman" w:hAnsi="Times New Roman" w:cs="Times New Roman"/>
          <w:b/>
          <w:sz w:val="28"/>
          <w:szCs w:val="28"/>
        </w:rPr>
        <w:t> 接口直调大语言模型推理层，LLM 以 Markdown 格式生成完整的验证标准矩阵内容</w:t>
      </w:r>
      <w:r>
        <w:rPr>
          <w:rFonts w:ascii="Times New Roman" w:hAnsi="Times New Roman" w:cs="Times New Roman"/>
          <w:sz w:val="28"/>
          <w:szCs w:val="28"/>
        </w:rPr>
        <w:t>——矩阵包含该高概率假设需要哪些关键检查项目、各检查的预期结果范围、以及如何解读结果以进一步确认或削弱该诊断，最终由前端渲染展示，医生逐项审核确认后进入 S46 的原子化断言清单汇总阶段。</w:t>
      </w:r>
    </w:p>
    <w:p w14:paraId="63291F53">
      <w:pPr>
        <w:spacing w:line="480" w:lineRule="auto"/>
        <w:ind w:firstLine="556"/>
        <w:rPr>
          <w:rFonts w:ascii="Times New Roman" w:hAnsi="Times New Roman" w:cs="Times New Roman"/>
          <w:sz w:val="28"/>
          <w:szCs w:val="28"/>
        </w:rPr>
      </w:pPr>
    </w:p>
    <w:p w14:paraId="70234142">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中概率假设的验证指标聚焦于收集确证性证据（关键单一检查即可明确）</w:t>
      </w:r>
      <w:r>
        <w:rPr>
          <w:rFonts w:hint="eastAsia" w:ascii="Times New Roman" w:hAnsi="Times New Roman" w:cs="Times New Roman"/>
          <w:sz w:val="28"/>
          <w:szCs w:val="28"/>
        </w:rPr>
        <w:t>；</w:t>
      </w:r>
    </w:p>
    <w:p w14:paraId="66A845FF">
      <w:pPr>
        <w:spacing w:line="480" w:lineRule="auto"/>
        <w:ind w:firstLine="556"/>
        <w:rPr>
          <w:rFonts w:ascii="Times New Roman" w:hAnsi="Times New Roman" w:cs="Times New Roman"/>
          <w:sz w:val="28"/>
          <w:szCs w:val="28"/>
        </w:rPr>
      </w:pPr>
    </w:p>
    <w:p w14:paraId="36138222">
      <w:pPr>
        <w:spacing w:line="480" w:lineRule="auto"/>
        <w:ind w:firstLine="556"/>
        <w:rPr>
          <w:rFonts w:ascii="Times New Roman" w:hAnsi="Times New Roman" w:cs="Times New Roman"/>
          <w:sz w:val="28"/>
          <w:szCs w:val="28"/>
        </w:rPr>
      </w:pPr>
      <w:r>
        <w:rPr>
          <w:rFonts w:ascii="Times New Roman" w:hAnsi="Times New Roman" w:cs="Times New Roman"/>
          <w:sz w:val="28"/>
          <w:szCs w:val="28"/>
        </w:rPr>
        <w:t>中概率假设在确定验证指标（聚焦于单一关键确证性检查）后，</w:t>
      </w:r>
      <w:r>
        <w:rPr>
          <w:rFonts w:ascii="Times New Roman" w:hAnsi="Times New Roman" w:cs="Times New Roman"/>
          <w:b/>
          <w:sz w:val="28"/>
          <w:szCs w:val="28"/>
        </w:rPr>
        <w:t>直接作为 S46 原子化断言清单的输入</w:t>
      </w:r>
      <w:r>
        <w:rPr>
          <w:rFonts w:ascii="Times New Roman" w:hAnsi="Times New Roman" w:cs="Times New Roman"/>
          <w:sz w:val="28"/>
          <w:szCs w:val="28"/>
        </w:rPr>
        <w:t>——LLM 将该中概率假设与所有其他假设（经 S41~S45 完整处理的高概率和低概率假设）按最终可能性评级汇总排序，渲染为原子化断言清单逐条呈现，每条中概率断言携带其证据审查结论、偏差检查结果和治疗验证指标，医生在界面上可逐项判定：若认可，则保留该断言进入下游临床决策；若有异议，则可手动调整置信度或补充新的验证要求后重新触发局部推理。</w:t>
      </w:r>
    </w:p>
    <w:p w14:paraId="41B28494">
      <w:pPr>
        <w:spacing w:line="480" w:lineRule="auto"/>
        <w:ind w:firstLine="556"/>
        <w:rPr>
          <w:rFonts w:ascii="Times New Roman" w:hAnsi="Times New Roman" w:cs="Times New Roman"/>
          <w:sz w:val="28"/>
          <w:szCs w:val="28"/>
        </w:rPr>
      </w:pPr>
    </w:p>
    <w:p w14:paraId="227B44F2">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w:t>
      </w:r>
      <w:bookmarkStart w:id="14" w:name="_Hlk232515459"/>
      <w:r>
        <w:rPr>
          <w:rFonts w:ascii="Times New Roman" w:hAnsi="Times New Roman" w:cs="Times New Roman"/>
          <w:sz w:val="28"/>
          <w:szCs w:val="28"/>
        </w:rPr>
        <w:t>低概率假设</w:t>
      </w:r>
      <w:bookmarkEnd w:id="14"/>
      <w:r>
        <w:rPr>
          <w:rFonts w:ascii="Times New Roman" w:hAnsi="Times New Roman" w:cs="Times New Roman"/>
          <w:sz w:val="28"/>
          <w:szCs w:val="28"/>
        </w:rPr>
        <w:t>的验证指标聚焦于排除确认（回顾已有数据确认排除依据充分）</w:t>
      </w:r>
      <w:r>
        <w:rPr>
          <w:rFonts w:hint="eastAsia" w:ascii="Times New Roman" w:hAnsi="Times New Roman" w:cs="Times New Roman"/>
          <w:sz w:val="28"/>
          <w:szCs w:val="28"/>
        </w:rPr>
        <w:t>；</w:t>
      </w:r>
    </w:p>
    <w:p w14:paraId="11405ED5">
      <w:pPr>
        <w:spacing w:line="480" w:lineRule="auto"/>
        <w:ind w:firstLine="556"/>
        <w:rPr>
          <w:rFonts w:ascii="Times New Roman" w:hAnsi="Times New Roman" w:cs="Times New Roman"/>
          <w:sz w:val="28"/>
          <w:szCs w:val="28"/>
        </w:rPr>
      </w:pPr>
    </w:p>
    <w:p w14:paraId="73814952">
      <w:pPr>
        <w:spacing w:line="480" w:lineRule="auto"/>
        <w:ind w:firstLine="556"/>
        <w:rPr>
          <w:rFonts w:ascii="Times New Roman" w:hAnsi="Times New Roman" w:cs="Times New Roman"/>
          <w:sz w:val="28"/>
          <w:szCs w:val="28"/>
        </w:rPr>
      </w:pPr>
      <w:r>
        <w:rPr>
          <w:rFonts w:ascii="Times New Roman" w:hAnsi="Times New Roman" w:cs="Times New Roman"/>
          <w:sz w:val="28"/>
          <w:szCs w:val="28"/>
        </w:rPr>
        <w:t>低概率假设完成排除确认（回顾已有数据确认排除依据充分）后，</w:t>
      </w:r>
      <w:r>
        <w:rPr>
          <w:rFonts w:ascii="Times New Roman" w:hAnsi="Times New Roman" w:cs="Times New Roman"/>
          <w:b/>
          <w:sz w:val="28"/>
          <w:szCs w:val="28"/>
        </w:rPr>
        <w:t>直接进入 S46 原子化断言清单的汇总阶段</w:t>
      </w:r>
      <w:r>
        <w:rPr>
          <w:rFonts w:ascii="Times New Roman" w:hAnsi="Times New Roman" w:cs="Times New Roman"/>
          <w:sz w:val="28"/>
          <w:szCs w:val="28"/>
        </w:rPr>
        <w:t>——LLM 将所有假设（含已确认排除的低概率假设、中概率假设和高概率假设）按最终可能性评级统一排序，低概率假设列于清单末端并标记为"已排除/低概率"状态，每条断言附带其排除依据摘要供医生逐项审视：若医生认可排除结论，该断言被保留但标记为"已排除"，不再触发任何下游推理或检查建议；若医生有异议（如发现排除依据不足），可手动将该项重新升级为中概率或高概率，系统据此回溯触发补充推理流程。</w:t>
      </w:r>
    </w:p>
    <w:p w14:paraId="4D762F57">
      <w:pPr>
        <w:spacing w:line="480" w:lineRule="auto"/>
        <w:ind w:firstLine="556"/>
        <w:rPr>
          <w:rFonts w:ascii="Times New Roman" w:hAnsi="Times New Roman" w:cs="Times New Roman"/>
          <w:sz w:val="28"/>
          <w:szCs w:val="28"/>
        </w:rPr>
      </w:pPr>
    </w:p>
    <w:p w14:paraId="38757F0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46</w:t>
      </w:r>
      <w:r>
        <w:rPr>
          <w:rFonts w:hint="eastAsia" w:ascii="Times New Roman" w:hAnsi="Times New Roman" w:cs="Times New Roman"/>
          <w:sz w:val="28"/>
          <w:szCs w:val="28"/>
        </w:rPr>
        <w:t>、</w:t>
      </w:r>
      <w:bookmarkStart w:id="15" w:name="_Hlk232501744"/>
      <w:r>
        <w:rPr>
          <w:rFonts w:hint="eastAsia" w:ascii="Times New Roman" w:hAnsi="Times New Roman" w:cs="Times New Roman"/>
          <w:sz w:val="28"/>
          <w:szCs w:val="28"/>
        </w:rPr>
        <w:t>输出原子化断言清单</w:t>
      </w:r>
      <w:bookmarkEnd w:id="15"/>
      <w:r>
        <w:rPr>
          <w:rFonts w:hint="eastAsia" w:ascii="Times New Roman" w:hAnsi="Times New Roman" w:cs="Times New Roman"/>
          <w:sz w:val="28"/>
          <w:szCs w:val="28"/>
        </w:rPr>
        <w:t>：</w:t>
      </w:r>
    </w:p>
    <w:p w14:paraId="3EB62DC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在执行完成S</w:t>
      </w:r>
      <w:r>
        <w:rPr>
          <w:rFonts w:ascii="Times New Roman" w:hAnsi="Times New Roman" w:cs="Times New Roman"/>
          <w:sz w:val="28"/>
          <w:szCs w:val="28"/>
        </w:rPr>
        <w:t>41~</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后，将所有</w:t>
      </w:r>
      <w:r>
        <w:rPr>
          <w:rFonts w:ascii="Times New Roman" w:hAnsi="Times New Roman" w:cs="Times New Roman"/>
          <w:sz w:val="28"/>
          <w:szCs w:val="28"/>
        </w:rPr>
        <w:t>假设的可能性评级汇总为排序假设列表</w:t>
      </w:r>
      <w:r>
        <w:rPr>
          <w:rFonts w:hint="eastAsia" w:ascii="Times New Roman" w:hAnsi="Times New Roman" w:cs="Times New Roman"/>
          <w:sz w:val="28"/>
          <w:szCs w:val="28"/>
        </w:rPr>
        <w:t>，通过LLM输出渲染为原子化断言清单，通过用户可对每条断言执行保留、删除、编辑或添加操作后，生成临床诊断推理结果。</w:t>
      </w:r>
    </w:p>
    <w:p w14:paraId="17A53F0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举例说明：在医生点击</w:t>
      </w:r>
      <w:bookmarkStart w:id="16" w:name="_Hlk232515790"/>
      <w:r>
        <w:rPr>
          <w:rFonts w:hint="eastAsia" w:ascii="Times New Roman" w:hAnsi="Times New Roman" w:cs="Times New Roman"/>
          <w:sz w:val="28"/>
          <w:szCs w:val="28"/>
        </w:rPr>
        <w:t>“保存”后</w:t>
      </w:r>
      <w:bookmarkEnd w:id="16"/>
      <w:r>
        <w:rPr>
          <w:rFonts w:hint="eastAsia" w:ascii="Times New Roman" w:hAnsi="Times New Roman" w:cs="Times New Roman"/>
          <w:sz w:val="28"/>
          <w:szCs w:val="28"/>
        </w:rPr>
        <w:t>，系统在原始内容中逐行删除被取消选中的断言行，追加医生手动添加的断言，其余内容原样保留，然后激活下一步骤的执行。</w:t>
      </w:r>
    </w:p>
    <w:p w14:paraId="3DD2637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如图2所示，一种基于大模型的临床诊断逻辑推理系统，包括前端推理编排层、后端模板层和大语言模型推理层；</w:t>
      </w:r>
    </w:p>
    <w:p w14:paraId="36601FE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采用前端驱动同步执行模式（零轮询），后端模板层用于存储和管理Prompt模板，模板中包含指令和输出格式，所有数据由前端编排组装；大语言模型推理层用于通过analyzeLLM接口直调LLM获取临床诊断推理结果。</w:t>
      </w:r>
    </w:p>
    <w:p w14:paraId="396F5253">
      <w:pPr>
        <w:spacing w:line="480" w:lineRule="auto"/>
        <w:ind w:firstLine="556"/>
        <w:rPr>
          <w:rFonts w:ascii="Times New Roman" w:hAnsi="Times New Roman" w:cs="Times New Roman"/>
          <w:sz w:val="28"/>
          <w:szCs w:val="28"/>
        </w:rPr>
      </w:pPr>
      <w:r>
        <w:rPr>
          <w:rFonts w:ascii="Times New Roman" w:hAnsi="Times New Roman" w:cs="Times New Roman"/>
          <w:sz w:val="28"/>
          <w:szCs w:val="28"/>
        </w:rPr>
        <w:t>在本发明的描述中，</w:t>
      </w:r>
      <w:r>
        <w:rPr>
          <w:rFonts w:hint="eastAsia" w:ascii="Times New Roman" w:hAnsi="Times New Roman" w:cs="Times New Roman"/>
          <w:sz w:val="28"/>
          <w:szCs w:val="28"/>
        </w:rPr>
        <w:t>以上仅为本发明的较佳实施例而已，并非用于限定本发明的保护范围。凡在本发明的精神和原则之内，所作的任何修改、等同替换、改进等，均应包含在本发明的保护范围之内</w:t>
      </w:r>
      <w:r>
        <w:rPr>
          <w:rFonts w:ascii="Times New Roman" w:hAnsi="Times New Roman" w:cs="Times New Roman"/>
          <w:sz w:val="28"/>
          <w:szCs w:val="28"/>
        </w:rPr>
        <w:t>。</w:t>
      </w:r>
    </w:p>
    <w:p w14:paraId="28C838DB">
      <w:pPr>
        <w:spacing w:line="480" w:lineRule="auto"/>
        <w:ind w:firstLine="556"/>
        <w:rPr>
          <w:rFonts w:ascii="Times New Roman" w:hAnsi="Times New Roman" w:cs="Times New Roman"/>
          <w:sz w:val="28"/>
          <w:szCs w:val="28"/>
        </w:rPr>
      </w:pPr>
    </w:p>
    <w:p w14:paraId="2439E4D4">
      <w:pPr>
        <w:spacing w:line="480" w:lineRule="auto"/>
        <w:rPr>
          <w:rFonts w:ascii="Times New Roman" w:hAnsi="Times New Roman" w:cs="Times New Roman"/>
          <w:sz w:val="28"/>
          <w:szCs w:val="28"/>
        </w:rPr>
        <w:sectPr>
          <w:headerReference r:id="rId15" w:type="default"/>
          <w:footerReference r:id="rId16" w:type="default"/>
          <w:pgSz w:w="11906" w:h="16838"/>
          <w:pgMar w:top="1418" w:right="851" w:bottom="851" w:left="1418" w:header="851" w:footer="113" w:gutter="0"/>
          <w:pgNumType w:start="1"/>
          <w:cols w:space="425" w:num="1"/>
          <w:docGrid w:type="lines" w:linePitch="312" w:charSpace="0"/>
        </w:sectPr>
      </w:pPr>
    </w:p>
    <w:p w14:paraId="2A77E06C">
      <w:pPr>
        <w:spacing w:line="480" w:lineRule="auto"/>
        <w:jc w:val="center"/>
        <w:rPr>
          <w:rFonts w:ascii="Times New Roman" w:hAnsi="Times New Roman" w:cs="Times New Roman"/>
          <w:sz w:val="28"/>
          <w:szCs w:val="28"/>
        </w:rPr>
      </w:pPr>
      <w:r>
        <w:object>
          <v:shape id="_x0000_i1026" o:spt="75" type="#_x0000_t75" style="height:430.5pt;width:481.5pt;" o:ole="t" filled="f" o:preferrelative="t" stroked="f" coordsize="21600,21600">
            <v:path/>
            <v:fill on="f" focussize="0,0"/>
            <v:stroke on="f" joinstyle="miter"/>
            <v:imagedata r:id="rId21" o:title=""/>
            <o:lock v:ext="edit" aspectratio="t"/>
            <w10:wrap type="none"/>
            <w10:anchorlock/>
          </v:shape>
          <o:OLEObject Type="Embed" ProgID="Visio.Drawing.15" ShapeID="_x0000_i1026" DrawAspect="Content" ObjectID="_1468075726" r:id="rId22">
            <o:LockedField>false</o:LockedField>
          </o:OLEObject>
        </w:object>
      </w:r>
      <w:r>
        <w:rPr>
          <w:rFonts w:ascii="Times New Roman" w:hAnsi="Times New Roman" w:cs="Times New Roman"/>
          <w:sz w:val="28"/>
          <w:szCs w:val="28"/>
        </w:rPr>
        <w:t>图1</w:t>
      </w:r>
    </w:p>
    <w:p w14:paraId="53E9609B">
      <w:pPr>
        <w:spacing w:line="480" w:lineRule="auto"/>
        <w:jc w:val="center"/>
        <w:rPr>
          <w:rFonts w:ascii="Times New Roman" w:hAnsi="Times New Roman" w:cs="Times New Roman"/>
          <w:sz w:val="28"/>
          <w:szCs w:val="28"/>
        </w:rPr>
      </w:pPr>
      <w:r>
        <w:object>
          <v:shape id="_x0000_i1027" o:spt="75" type="#_x0000_t75" style="height:268.5pt;width:225pt;" o:ole="t" filled="f" o:preferrelative="t" stroked="f" coordsize="21600,21600">
            <v:path/>
            <v:fill on="f" focussize="0,0"/>
            <v:stroke on="f" joinstyle="miter"/>
            <v:imagedata r:id="rId24" o:title=""/>
            <o:lock v:ext="edit" aspectratio="t"/>
            <w10:wrap type="none"/>
            <w10:anchorlock/>
          </v:shape>
          <o:OLEObject Type="Embed" ProgID="Visio.Drawing.15" ShapeID="_x0000_i1027" DrawAspect="Content" ObjectID="_1468075727" r:id="rId23">
            <o:LockedField>false</o:LockedField>
          </o:OLEObject>
        </w:object>
      </w:r>
    </w:p>
    <w:p w14:paraId="17D84CFB">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图2 </w:t>
      </w:r>
    </w:p>
    <w:sectPr>
      <w:headerReference r:id="rId17" w:type="default"/>
      <w:footerReference r:id="rId18" w:type="default"/>
      <w:pgSz w:w="11906" w:h="16838"/>
      <w:pgMar w:top="1418" w:right="851" w:bottom="851" w:left="1418" w:header="851" w:footer="992"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 Liu" w:date="2026-06-17T10:40:00Z" w:initials="XL">
    <w:p w14:paraId="0179EDCB">
      <w:pPr>
        <w:pStyle w:val="3"/>
        <w:rPr>
          <w:rFonts w:hint="eastAsia" w:ascii="Times New Roman" w:hAnsi="Times New Roman" w:cs="Times New Roman"/>
          <w:bCs/>
          <w:sz w:val="28"/>
          <w:szCs w:val="28"/>
        </w:rPr>
      </w:pPr>
      <w:r>
        <w:rPr>
          <w:rFonts w:hint="eastAsia"/>
        </w:rPr>
        <w:t>“聚焦”如何理解？这一步描述过于含糊，请说明</w:t>
      </w:r>
      <w:r>
        <w:rPr>
          <w:rFonts w:ascii="Times New Roman" w:hAnsi="Times New Roman" w:cs="Times New Roman"/>
          <w:bCs/>
          <w:sz w:val="28"/>
          <w:szCs w:val="28"/>
        </w:rPr>
        <w:t>验证指标</w:t>
      </w:r>
      <w:r>
        <w:rPr>
          <w:rFonts w:hint="eastAsia" w:ascii="Times New Roman" w:hAnsi="Times New Roman" w:cs="Times New Roman"/>
          <w:bCs/>
          <w:sz w:val="28"/>
          <w:szCs w:val="28"/>
        </w:rPr>
        <w:t>包括什么，如何用于S</w:t>
      </w:r>
      <w:r>
        <w:rPr>
          <w:rFonts w:ascii="Times New Roman" w:hAnsi="Times New Roman" w:cs="Times New Roman"/>
          <w:bCs/>
          <w:sz w:val="28"/>
          <w:szCs w:val="28"/>
        </w:rPr>
        <w:t>46</w:t>
      </w:r>
      <w:r>
        <w:rPr>
          <w:rFonts w:hint="eastAsia" w:ascii="Times New Roman" w:hAnsi="Times New Roman" w:cs="Times New Roman"/>
          <w:bCs/>
          <w:sz w:val="28"/>
          <w:szCs w:val="28"/>
        </w:rPr>
        <w:t>。</w:t>
      </w:r>
    </w:p>
    <w:p w14:paraId="27347E8E">
      <w:pPr>
        <w:pStyle w:val="3"/>
        <w:rPr>
          <w:rFonts w:hint="eastAsia" w:ascii="Times New Roman" w:hAnsi="Times New Roman" w:cs="Times New Roman"/>
          <w:bCs/>
          <w:sz w:val="28"/>
          <w:szCs w:val="28"/>
        </w:rPr>
      </w:pPr>
      <w:r>
        <w:rPr>
          <w:rFonts w:ascii="Segoe UI" w:hAnsi="Segoe UI" w:eastAsia="Segoe UI" w:cs="Segoe UI"/>
          <w:i w:val="0"/>
          <w:iCs w:val="0"/>
          <w:caps w:val="0"/>
          <w:color w:val="D6D6D3"/>
          <w:spacing w:val="0"/>
          <w:sz w:val="13"/>
          <w:szCs w:val="13"/>
          <w:shd w:val="clear" w:fill="171716"/>
        </w:rPr>
        <w:t>"</w:t>
      </w:r>
      <w:r>
        <w:rPr>
          <w:rFonts w:hint="default" w:ascii="Segoe UI" w:hAnsi="Segoe UI" w:eastAsia="Segoe UI" w:cs="Segoe UI"/>
          <w:i w:val="0"/>
          <w:iCs w:val="0"/>
          <w:caps w:val="0"/>
          <w:color w:val="D6D6D3"/>
          <w:spacing w:val="0"/>
          <w:sz w:val="13"/>
          <w:szCs w:val="13"/>
          <w:shd w:val="clear" w:fill="171716"/>
        </w:rPr>
        <w:t>聚焦"指按诊断概率分层差异化：高概率给出完整验证矩阵，中低概率仅聚焦关键确认/排除检查。验证指标含必查项目、监测指标（基线+频率+目标值）、验证时间线、确认/排除标准。经S46原子化断言清单医生审核后，已确认指标直接成为诊疗计划中需跟踪的疗效评估参数。</w:t>
      </w:r>
    </w:p>
  </w:comment>
  <w:comment w:id="1" w:author="Xiao Liu" w:date="2026-06-17T10:41:00Z" w:initials="XL">
    <w:p w14:paraId="0CCEBE47">
      <w:pPr>
        <w:pStyle w:val="3"/>
        <w:rPr>
          <w:rFonts w:hint="eastAsia"/>
        </w:rPr>
      </w:pPr>
      <w:r>
        <w:rPr>
          <w:rFonts w:hint="eastAsia"/>
        </w:rPr>
        <w:t>同上</w:t>
      </w:r>
    </w:p>
    <w:p w14:paraId="74F87080">
      <w:pPr>
        <w:pStyle w:val="9"/>
        <w:keepNext w:val="0"/>
        <w:keepLines w:val="0"/>
        <w:widowControl/>
        <w:suppressLineNumbers w:val="0"/>
        <w:shd w:val="clear" w:fill="171716"/>
        <w:ind w:left="0" w:firstLine="0"/>
        <w:rPr>
          <w:rFonts w:ascii="Segoe UI" w:hAnsi="Segoe UI" w:eastAsia="Segoe UI" w:cs="Segoe UI"/>
          <w:i w:val="0"/>
          <w:iCs w:val="0"/>
          <w:caps w:val="0"/>
          <w:color w:val="D6D6D3"/>
          <w:spacing w:val="0"/>
          <w:sz w:val="13"/>
          <w:szCs w:val="13"/>
        </w:rPr>
      </w:pPr>
      <w:r>
        <w:rPr>
          <w:rStyle w:val="13"/>
          <w:rFonts w:hint="default" w:ascii="Segoe UI" w:hAnsi="Segoe UI" w:eastAsia="Segoe UI" w:cs="Segoe UI"/>
          <w:i w:val="0"/>
          <w:iCs w:val="0"/>
          <w:caps w:val="0"/>
          <w:color w:val="D6D6D3"/>
          <w:spacing w:val="0"/>
          <w:sz w:val="13"/>
          <w:szCs w:val="13"/>
          <w:shd w:val="clear" w:fill="171716"/>
        </w:rPr>
        <w:t>"聚焦"在此场景下指验证指标从"巩固性监测"切换为"诊断性确证"</w:t>
      </w:r>
      <w:r>
        <w:rPr>
          <w:rFonts w:hint="default" w:ascii="Segoe UI" w:hAnsi="Segoe UI" w:eastAsia="Segoe UI" w:cs="Segoe UI"/>
          <w:i w:val="0"/>
          <w:iCs w:val="0"/>
          <w:caps w:val="0"/>
          <w:color w:val="D6D6D3"/>
          <w:spacing w:val="0"/>
          <w:sz w:val="13"/>
          <w:szCs w:val="13"/>
          <w:shd w:val="clear" w:fill="171716"/>
        </w:rPr>
        <w:t>——当治疗反应不充分时，验证指标不再侧重定期复查和疗效维持，而是转向：</w:t>
      </w:r>
    </w:p>
    <w:p w14:paraId="470FE4D0">
      <w:pPr>
        <w:pStyle w:val="9"/>
        <w:keepNext w:val="0"/>
        <w:keepLines w:val="0"/>
        <w:widowControl/>
        <w:suppressLineNumbers w:val="0"/>
        <w:shd w:val="clear" w:fill="171716"/>
        <w:ind w:left="0" w:firstLine="0"/>
        <w:rPr>
          <w:rFonts w:hint="default" w:ascii="Segoe UI" w:hAnsi="Segoe UI" w:eastAsia="Segoe UI" w:cs="Segoe UI"/>
          <w:i w:val="0"/>
          <w:iCs w:val="0"/>
          <w:caps w:val="0"/>
          <w:color w:val="D6D6D3"/>
          <w:spacing w:val="0"/>
          <w:sz w:val="13"/>
          <w:szCs w:val="13"/>
        </w:rPr>
      </w:pPr>
      <w:r>
        <w:rPr>
          <w:rStyle w:val="13"/>
          <w:rFonts w:hint="default" w:ascii="Segoe UI" w:hAnsi="Segoe UI" w:eastAsia="Segoe UI" w:cs="Segoe UI"/>
          <w:i w:val="0"/>
          <w:iCs w:val="0"/>
          <w:caps w:val="0"/>
          <w:color w:val="D6D6D3"/>
          <w:spacing w:val="0"/>
          <w:sz w:val="13"/>
          <w:szCs w:val="13"/>
          <w:shd w:val="clear" w:fill="171716"/>
        </w:rPr>
        <w:t>验证指标包括</w:t>
      </w:r>
      <w:r>
        <w:rPr>
          <w:rFonts w:hint="default" w:ascii="Segoe UI" w:hAnsi="Segoe UI" w:eastAsia="Segoe UI" w:cs="Segoe UI"/>
          <w:i w:val="0"/>
          <w:iCs w:val="0"/>
          <w:caps w:val="0"/>
          <w:color w:val="D6D6D3"/>
          <w:spacing w:val="0"/>
          <w:sz w:val="13"/>
          <w:szCs w:val="13"/>
          <w:shd w:val="clear" w:fill="171716"/>
        </w:rPr>
        <w:t>：必查项目（优先级+判定标准）、补充检查（分型/分期）、替代诊断的排除标准。</w:t>
      </w:r>
    </w:p>
    <w:p w14:paraId="78221288">
      <w:pPr>
        <w:pStyle w:val="9"/>
        <w:keepNext w:val="0"/>
        <w:keepLines w:val="0"/>
        <w:widowControl/>
        <w:suppressLineNumbers w:val="0"/>
        <w:shd w:val="clear" w:fill="171716"/>
        <w:ind w:left="0" w:firstLine="0"/>
        <w:rPr>
          <w:rFonts w:hint="default" w:ascii="Segoe UI" w:hAnsi="Segoe UI" w:eastAsia="Segoe UI" w:cs="Segoe UI"/>
          <w:i w:val="0"/>
          <w:iCs w:val="0"/>
          <w:caps w:val="0"/>
          <w:color w:val="D6D6D3"/>
          <w:spacing w:val="0"/>
          <w:sz w:val="13"/>
          <w:szCs w:val="13"/>
        </w:rPr>
      </w:pPr>
      <w:r>
        <w:rPr>
          <w:rStyle w:val="13"/>
          <w:rFonts w:hint="default" w:ascii="Segoe UI" w:hAnsi="Segoe UI" w:eastAsia="Segoe UI" w:cs="Segoe UI"/>
          <w:i w:val="0"/>
          <w:iCs w:val="0"/>
          <w:caps w:val="0"/>
          <w:color w:val="D6D6D3"/>
          <w:spacing w:val="0"/>
          <w:sz w:val="13"/>
          <w:szCs w:val="13"/>
          <w:shd w:val="clear" w:fill="171716"/>
        </w:rPr>
        <w:t>用于S46</w:t>
      </w:r>
      <w:r>
        <w:rPr>
          <w:rFonts w:hint="default" w:ascii="Segoe UI" w:hAnsi="Segoe UI" w:eastAsia="Segoe UI" w:cs="Segoe UI"/>
          <w:i w:val="0"/>
          <w:iCs w:val="0"/>
          <w:caps w:val="0"/>
          <w:color w:val="D6D6D3"/>
          <w:spacing w:val="0"/>
          <w:sz w:val="13"/>
          <w:szCs w:val="13"/>
          <w:shd w:val="clear" w:fill="171716"/>
        </w:rPr>
        <w:t>：这些指标经 </w:t>
      </w:r>
      <w:r>
        <w:rPr>
          <w:rStyle w:val="14"/>
          <w:rFonts w:ascii="Courier New" w:hAnsi="Courier New" w:eastAsia="Courier New" w:cs="Courier New"/>
          <w:i w:val="0"/>
          <w:iCs w:val="0"/>
          <w:caps w:val="0"/>
          <w:color w:val="D6D6D3"/>
          <w:spacing w:val="0"/>
          <w:sz w:val="12"/>
          <w:szCs w:val="12"/>
          <w:shd w:val="clear" w:fill="171716"/>
        </w:rPr>
        <w:t>- [ ]</w:t>
      </w:r>
      <w:r>
        <w:rPr>
          <w:rFonts w:hint="default" w:ascii="Segoe UI" w:hAnsi="Segoe UI" w:eastAsia="Segoe UI" w:cs="Segoe UI"/>
          <w:i w:val="0"/>
          <w:iCs w:val="0"/>
          <w:caps w:val="0"/>
          <w:color w:val="D6D6D3"/>
          <w:spacing w:val="0"/>
          <w:sz w:val="13"/>
          <w:szCs w:val="13"/>
          <w:shd w:val="clear" w:fill="171716"/>
        </w:rPr>
        <w:t> 断言化后，在S46中由医生勾选确认，筛选后的必查/补充项目直接驱动下一步（回到Step 3重新审视或启动替代诊断排查）。</w:t>
      </w:r>
    </w:p>
    <w:p w14:paraId="1934C24F">
      <w:pPr>
        <w:pStyle w:val="3"/>
        <w:rPr>
          <w:rFonts w:hint="eastAsia"/>
        </w:rPr>
      </w:pPr>
    </w:p>
  </w:comment>
  <w:comment w:id="2" w:author="Xiao Liu" w:date="2026-06-17T10:41:00Z" w:initials="XL">
    <w:p w14:paraId="616BC3CE">
      <w:pPr>
        <w:pStyle w:val="3"/>
        <w:rPr>
          <w:rFonts w:hint="eastAsia"/>
        </w:rPr>
      </w:pPr>
      <w:r>
        <w:rPr>
          <w:rFonts w:hint="eastAsia"/>
        </w:rPr>
        <w:t>同上</w:t>
      </w:r>
    </w:p>
    <w:p w14:paraId="001ED106">
      <w:pPr>
        <w:pStyle w:val="3"/>
        <w:rPr>
          <w:rFonts w:hint="eastAsia"/>
        </w:rPr>
      </w:pPr>
      <w:r>
        <w:rPr>
          <w:rFonts w:ascii="Segoe UI" w:hAnsi="Segoe UI" w:eastAsia="Segoe UI" w:cs="Segoe UI"/>
          <w:i w:val="0"/>
          <w:iCs w:val="0"/>
          <w:caps w:val="0"/>
          <w:color w:val="D6D6D3"/>
          <w:spacing w:val="0"/>
          <w:sz w:val="13"/>
          <w:szCs w:val="13"/>
          <w:shd w:val="clear" w:fill="171716"/>
        </w:rPr>
        <w:t>低</w:t>
      </w:r>
      <w:r>
        <w:rPr>
          <w:rFonts w:hint="default" w:ascii="Segoe UI" w:hAnsi="Segoe UI" w:eastAsia="Segoe UI" w:cs="Segoe UI"/>
          <w:i w:val="0"/>
          <w:iCs w:val="0"/>
          <w:caps w:val="0"/>
          <w:color w:val="D6D6D3"/>
          <w:spacing w:val="0"/>
          <w:sz w:val="13"/>
          <w:szCs w:val="13"/>
          <w:shd w:val="clear" w:fill="171716"/>
        </w:rPr>
        <w:t>概率假设验证指标聚焦于</w:t>
      </w:r>
      <w:r>
        <w:rPr>
          <w:rStyle w:val="13"/>
          <w:rFonts w:hint="default" w:ascii="Segoe UI" w:hAnsi="Segoe UI" w:eastAsia="Segoe UI" w:cs="Segoe UI"/>
          <w:i w:val="0"/>
          <w:iCs w:val="0"/>
          <w:caps w:val="0"/>
          <w:color w:val="D6D6D3"/>
          <w:spacing w:val="0"/>
          <w:sz w:val="13"/>
          <w:szCs w:val="13"/>
          <w:shd w:val="clear" w:fill="171716"/>
        </w:rPr>
        <w:t>排除确认</w:t>
      </w:r>
      <w:r>
        <w:rPr>
          <w:rFonts w:hint="default" w:ascii="Segoe UI" w:hAnsi="Segoe UI" w:eastAsia="Segoe UI" w:cs="Segoe UI"/>
          <w:i w:val="0"/>
          <w:iCs w:val="0"/>
          <w:caps w:val="0"/>
          <w:color w:val="D6D6D3"/>
          <w:spacing w:val="0"/>
          <w:sz w:val="13"/>
          <w:szCs w:val="13"/>
          <w:shd w:val="clear" w:fill="171716"/>
        </w:rPr>
        <w:t>，包括：排除性关键检查（判定标准）、诊断排除标准、替代解释。经S46原子化断言清单，医生勾选确认后，已排除假设锁定为排除状态，不再进入后续诊疗计划生成。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7347E8E" w15:done="0"/>
  <w15:commentEx w15:paraId="1934C24F" w15:done="0"/>
  <w15:commentEx w15:paraId="001ED10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12E7D">
    <w:pPr>
      <w:pStyle w:val="7"/>
      <w:spacing w:line="200" w:lineRule="exact"/>
      <w:jc w:val="both"/>
      <w:rPr>
        <w:rFonts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4</w:t>
    </w:r>
  </w:p>
  <w:p w14:paraId="393131D9">
    <w:pPr>
      <w:pStyle w:val="7"/>
      <w:spacing w:line="200" w:lineRule="exact"/>
      <w:jc w:val="both"/>
      <w:rPr>
        <w:rFonts w:ascii="黑体" w:eastAsia="黑体"/>
      </w:rPr>
    </w:pPr>
    <w:r>
      <w:rPr>
        <w:rFonts w:ascii="黑体" w:eastAsia="黑体"/>
      </w:rPr>
      <mc:AlternateContent>
        <mc:Choice Requires="wps">
          <w:drawing>
            <wp:anchor distT="0" distB="0" distL="114300" distR="114300" simplePos="0" relativeHeight="251662336"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2" name="直线 1036"/>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6" o:spid="_x0000_s1026" o:spt="20" style="position:absolute;left:0pt;margin-left:0.15pt;margin-top:-12.35pt;height:0pt;width:481.9pt;z-index:25166233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NHLXTX&#10;AAAACAEAAA8AAAAAAAAAAQAgAAAAIgAAAGRycy9kb3ducmV2LnhtbFBLAQIUABQAAAAIAIdO4kDL&#10;wfQD6AEAAN8DAAAOAAAAAAAAAAEAIAAAACYBAABkcnMvZTJvRG9jLnhtbFBLBQYAAAAABgAGAFkB&#10;AACABQAAAAA=&#10;">
              <v:fill on="f" focussize="0,0"/>
              <v:stroke weight="1pt" color="#000000" joinstyle="round"/>
              <v:imagedata o:title=""/>
              <o:lock v:ext="edit" aspectratio="f"/>
            </v:line>
          </w:pict>
        </mc:Fallback>
      </mc:AlternateContent>
    </w:r>
    <w:r>
      <w:rPr>
        <w:rFonts w:hint="eastAsia" w:ascii="黑体" w:eastAsia="黑体"/>
      </w:rPr>
      <w:t>2010.2</w:t>
    </w:r>
  </w:p>
  <w:p w14:paraId="2F5233C4">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DDD2E">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7E397">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9E5D8">
    <w:pPr>
      <w:pStyle w:val="7"/>
      <w:spacing w:line="200" w:lineRule="exact"/>
      <w:jc w:val="both"/>
      <w:rPr>
        <w:rFonts w:ascii="黑体" w:eastAsia="黑体"/>
      </w:rPr>
    </w:pPr>
    <w:r>
      <w:rPr>
        <w:rFonts w:eastAsia="黑体"/>
        <w:spacing w:val="90"/>
        <w:sz w:val="20"/>
      </w:rPr>
      <mc:AlternateContent>
        <mc:Choice Requires="wps">
          <w:drawing>
            <wp:anchor distT="0" distB="0" distL="114300" distR="114300" simplePos="0" relativeHeight="251664384" behindDoc="0" locked="0" layoutInCell="0" allowOverlap="1">
              <wp:simplePos x="0" y="0"/>
              <wp:positionH relativeFrom="column">
                <wp:posOffset>12700</wp:posOffset>
              </wp:positionH>
              <wp:positionV relativeFrom="paragraph">
                <wp:posOffset>-38100</wp:posOffset>
              </wp:positionV>
              <wp:extent cx="6120130" cy="0"/>
              <wp:effectExtent l="0" t="6350" r="1270" b="6350"/>
              <wp:wrapNone/>
              <wp:docPr id="4" name="直线 1038"/>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8" o:spid="_x0000_s1026" o:spt="20" style="position:absolute;left:0pt;margin-left:1pt;margin-top:-3pt;height:0pt;width:481.9pt;z-index:251664384;mso-width-relative:page;mso-height-relative:page;" filled="f" stroked="t" coordsize="21600,21600" o:allowincell="f" o:gfxdata="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46uXJ9YA&#10;AAAHAQAADwAAAAAAAAABACAAAAAiAAAAZHJzL2Rvd25yZXYueG1sUEsBAhQAFAAAAAgAh07iQJ8/&#10;xVroAQAA3wMAAA4AAAAAAAAAAQAgAAAAJQEAAGRycy9lMm9Eb2MueG1sUEsFBgAAAAAGAAYAWQEA&#10;AH8FAAAAAA==&#10;">
              <v:fill on="f" focussize="0,0"/>
              <v:stroke weight="1pt" color="#000000" joinstyle="round"/>
              <v:imagedata o:title=""/>
              <o:lock v:ext="edit" aspectratio="f"/>
            </v:line>
          </w:pict>
        </mc:Fallback>
      </mc:AlternateContent>
    </w:r>
    <w:r>
      <w:rPr>
        <w:rFonts w:hint="eastAsia" w:ascii="黑体" w:eastAsia="黑体"/>
      </w:rPr>
      <w:t>100005</w:t>
    </w:r>
  </w:p>
  <w:p w14:paraId="58D35706">
    <w:pPr>
      <w:pStyle w:val="7"/>
      <w:spacing w:line="200" w:lineRule="exact"/>
      <w:jc w:val="both"/>
      <w:rPr>
        <w:rFonts w:ascii="黑体" w:eastAsia="黑体"/>
      </w:rPr>
    </w:pPr>
    <w:r>
      <w:rPr>
        <w:rFonts w:hint="eastAsia" w:ascii="黑体" w:eastAsia="黑体"/>
      </w:rPr>
      <w:t>2010.2</w:t>
    </w:r>
  </w:p>
  <w:p w14:paraId="3EBE6CED">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4B1F7">
    <w:pPr>
      <w:pStyle w:val="7"/>
    </w:pPr>
    <w:r>
      <mc:AlternateContent>
        <mc:Choice Requires="wps">
          <w:drawing>
            <wp:anchor distT="0" distB="0" distL="114300" distR="114300" simplePos="0" relativeHeight="251668480" behindDoc="0" locked="0" layoutInCell="0" allowOverlap="1">
              <wp:simplePos x="0" y="0"/>
              <wp:positionH relativeFrom="column">
                <wp:posOffset>12700</wp:posOffset>
              </wp:positionH>
              <wp:positionV relativeFrom="paragraph">
                <wp:posOffset>-29845</wp:posOffset>
              </wp:positionV>
              <wp:extent cx="6120130" cy="0"/>
              <wp:effectExtent l="0" t="6350" r="1270" b="6350"/>
              <wp:wrapNone/>
              <wp:docPr id="8" name="直线 1042"/>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42" o:spid="_x0000_s1026" o:spt="20" style="position:absolute;left:0pt;margin-left:1pt;margin-top:-2.35pt;height:0pt;width:481.9pt;z-index:251668480;mso-width-relative:page;mso-height-relative:page;" filled="f" stroked="t" coordsize="21600,21600" o:allowincell="f" o:gfxdata="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JdRiHX&#10;AAAABwEAAA8AAAAAAAAAAQAgAAAAIgAAAGRycy9kb3ducmV2LnhtbFBLAQIUABQAAAAIAIdO4kCR&#10;Q4vp6AEAAN8DAAAOAAAAAAAAAAEAIAAAACYBAABkcnMvZTJvRG9jLnhtbFBLBQYAAAAABgAGAFkB&#10;AACABQAAAAA=&#10;">
              <v:fill on="f" focussize="0,0"/>
              <v:stroke weight="1pt" color="#000000" joinstyle="round"/>
              <v:imagedata o:title=""/>
              <o:lock v:ext="edit" aspectratio="f"/>
            </v:line>
          </w:pict>
        </mc:Fallback>
      </mc:AlternateContent>
    </w:r>
    <w:r>
      <w:rPr>
        <w:rFonts w:hint="eastAsia"/>
      </w:rPr>
      <w:t xml:space="preserve">100001                                                  </w:t>
    </w:r>
    <w:r>
      <w:fldChar w:fldCharType="begin"/>
    </w:r>
    <w:r>
      <w:instrText xml:space="preserve"> PAGE   \* MERGEFORMAT </w:instrText>
    </w:r>
    <w:r>
      <w:fldChar w:fldCharType="separate"/>
    </w:r>
    <w:r>
      <w:rPr>
        <w:lang w:val="zh-CN"/>
      </w:rPr>
      <w:t>1</w:t>
    </w:r>
    <w:r>
      <w:fldChar w:fldCharType="end"/>
    </w:r>
  </w:p>
  <w:p w14:paraId="784C5B45">
    <w:pPr>
      <w:pStyle w:val="7"/>
    </w:pPr>
    <w:r>
      <w:rPr>
        <w:rFonts w:hint="eastAsia"/>
      </w:rPr>
      <w:t>2010. 2</w:t>
    </w:r>
  </w:p>
  <w:p w14:paraId="245660BA">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19F01">
    <w:pPr>
      <w:pStyle w:val="7"/>
    </w:pPr>
    <w:r>
      <mc:AlternateContent>
        <mc:Choice Requires="wps">
          <w:drawing>
            <wp:anchor distT="0" distB="0" distL="114300" distR="114300" simplePos="0" relativeHeight="251667456" behindDoc="0" locked="0" layoutInCell="0" allowOverlap="1">
              <wp:simplePos x="0" y="0"/>
              <wp:positionH relativeFrom="column">
                <wp:posOffset>0</wp:posOffset>
              </wp:positionH>
              <wp:positionV relativeFrom="paragraph">
                <wp:posOffset>-53975</wp:posOffset>
              </wp:positionV>
              <wp:extent cx="6120130" cy="0"/>
              <wp:effectExtent l="0" t="6350" r="1270" b="6350"/>
              <wp:wrapNone/>
              <wp:docPr id="7" name="直线 1041"/>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41" o:spid="_x0000_s1026" o:spt="20" style="position:absolute;left:0pt;margin-left:0pt;margin-top:-4.25pt;height:0pt;width:481.9pt;z-index:251667456;mso-width-relative:page;mso-height-relative:page;" filled="f" stroked="t" coordsize="21600,21600" o:allowincell="f" o:gfxdata="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dd+AN1QAA&#10;AAYBAAAPAAAAAAAAAAEAIAAAACIAAABkcnMvZG93bnJldi54bWxQSwECFAAUAAAACACHTuJAaw79&#10;a+gBAADfAwAADgAAAAAAAAABACAAAAAkAQAAZHJzL2Uyb0RvYy54bWxQSwUGAAAAAAYABgBZAQAA&#10;fgUAAAAA&#10;">
              <v:fill on="f" focussize="0,0"/>
              <v:stroke weight="1pt" color="#000000" joinstyle="round"/>
              <v:imagedata o:title=""/>
              <o:lock v:ext="edit" aspectratio="f"/>
            </v:line>
          </w:pict>
        </mc:Fallback>
      </mc:AlternateContent>
    </w:r>
    <w:r>
      <w:rPr>
        <w:rFonts w:hint="eastAsia"/>
      </w:rPr>
      <w:t xml:space="preserve">100002                                                </w:t>
    </w:r>
    <w:r>
      <w:fldChar w:fldCharType="begin"/>
    </w:r>
    <w:r>
      <w:instrText xml:space="preserve"> PAGE   \* MERGEFORMAT </w:instrText>
    </w:r>
    <w:r>
      <w:fldChar w:fldCharType="separate"/>
    </w:r>
    <w:r>
      <w:rPr>
        <w:lang w:val="zh-CN"/>
      </w:rPr>
      <w:t>2</w:t>
    </w:r>
    <w:r>
      <w:fldChar w:fldCharType="end"/>
    </w:r>
  </w:p>
  <w:p w14:paraId="156DAF0D">
    <w:pPr>
      <w:pStyle w:val="7"/>
    </w:pPr>
    <w:r>
      <w:rPr>
        <w:rFonts w:hint="eastAsia"/>
      </w:rPr>
      <w:t>2010. 2</w:t>
    </w:r>
  </w:p>
  <w:p w14:paraId="2BE1365A">
    <w:pPr>
      <w:pStyle w:val="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4DEF3">
    <w:pPr>
      <w:pStyle w:val="7"/>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-29845</wp:posOffset>
              </wp:positionV>
              <wp:extent cx="6120130" cy="0"/>
              <wp:effectExtent l="0" t="6350" r="1270" b="6350"/>
              <wp:wrapNone/>
              <wp:docPr id="16" name="直接连接符 1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0pt;margin-top:-2.35pt;height:0pt;width:481.9pt;z-index:251659264;mso-width-relative:page;mso-height-relative:page;" filled="f" stroked="t" coordsize="21600,21600" o:allowincell="f" o:gfxdata="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0YB+nW&#10;AAAABgEAAA8AAAAAAAAAAQAgAAAAIgAAAGRycy9kb3ducmV2LnhtbFBLAQIUABQAAAAIAIdO4kBK&#10;EV006QEAALsDAAAOAAAAAAAAAAEAIAAAACUBAABkcnMvZTJvRG9jLnhtbFBLBQYAAAAABgAGAFkB&#10;AACABQAAAAA=&#10;">
              <v:fill on="f" focussize="0,0"/>
              <v:stroke weight="1pt" color="#000000" joinstyle="round"/>
              <v:imagedata o:title=""/>
              <o:lock v:ext="edit" aspectratio="f"/>
            </v:line>
          </w:pict>
        </mc:Fallback>
      </mc:AlternateContent>
    </w:r>
    <w:r>
      <w:rPr>
        <w:rFonts w:hint="eastAsia"/>
      </w:rPr>
      <w:t xml:space="preserve">100003                                                 </w:t>
    </w:r>
    <w:r>
      <w:fldChar w:fldCharType="begin"/>
    </w:r>
    <w:r>
      <w:instrText xml:space="preserve"> PAGE   \* MERGEFORMAT </w:instrText>
    </w:r>
    <w:r>
      <w:fldChar w:fldCharType="separate"/>
    </w:r>
    <w:r>
      <w:rPr>
        <w:lang w:val="zh-CN"/>
      </w:rPr>
      <w:t>1</w:t>
    </w:r>
    <w:r>
      <w:rPr>
        <w:lang w:val="zh-CN"/>
      </w:rPr>
      <w:fldChar w:fldCharType="end"/>
    </w:r>
  </w:p>
  <w:p w14:paraId="39B9D85C">
    <w:pPr>
      <w:pStyle w:val="7"/>
    </w:pPr>
    <w:r>
      <w:rPr>
        <w:rFonts w:hint="eastAsia"/>
      </w:rPr>
      <w:t>2010. 2</w:t>
    </w:r>
  </w:p>
  <w:p w14:paraId="29AE1139">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F814A">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 name="直线 1035"/>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5" o:spid="_x0000_s1026" o:spt="20" style="position:absolute;left:0pt;margin-left:0pt;margin-top:28.35pt;height:0pt;width:481.9pt;z-index:25166131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Mqh&#10;fpzoAQAA3w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ECE58">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4CB59">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950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9" name="直线 1043"/>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43" o:spid="_x0000_s1026" o:spt="20" style="position:absolute;left:0pt;margin-left:0pt;margin-top:28.35pt;height:0pt;width:481.9pt;z-index:25166950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G6c&#10;8pzoAQAA3w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F7F1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3360"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1037"/>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7" o:spid="_x0000_s1026" o:spt="20" style="position:absolute;left:0pt;margin-left:0pt;margin-top:28.35pt;height:0pt;width:481.9pt;z-index:251663360;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DQe&#10;jXboAQAA3w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490A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540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5" name="直线 1039"/>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9" o:spid="_x0000_s1026" o:spt="20" style="position:absolute;left:0pt;margin-left:0pt;margin-top:28.35pt;height:0pt;width:481.9pt;z-index:25166540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GDg&#10;vC/oAQAA3w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F0E02">
    <w:pPr>
      <w:jc w:val="center"/>
      <w:outlineLvl w:val="0"/>
      <w:rPr>
        <w:rFonts w:ascii="黑体" w:eastAsia="黑体"/>
        <w:b/>
        <w:spacing w:val="130"/>
        <w:sz w:val="28"/>
      </w:rPr>
    </w:pPr>
    <w:r>
      <w:rPr>
        <w:rFonts w:eastAsia="黑体"/>
        <w:spacing w:val="130"/>
        <w:sz w:val="28"/>
      </w:rPr>
      <mc:AlternateContent>
        <mc:Choice Requires="wps">
          <w:drawing>
            <wp:anchor distT="0" distB="0" distL="114300" distR="114300" simplePos="0" relativeHeight="251666432"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6" name="直线 1040"/>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40" o:spid="_x0000_s1026" o:spt="20" style="position:absolute;left:0pt;margin-left:0pt;margin-top:28.35pt;height:0pt;width:481.9pt;z-index:25166643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lNGE&#10;HucBAADf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130"/>
        <w:sz w:val="28"/>
      </w:rPr>
      <w:t>说明书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AFF1B">
    <w:pPr>
      <w:jc w:val="center"/>
      <w:outlineLvl w:val="0"/>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7" name="直接连接符 17"/>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9UnZXW&#10;AAAABgEAAA8AAAAAAAAAAQAgAAAAIgAAAGRycy9kb3ducmV2LnhtbFBLAQIUABQAAAAIAIdO4kD2&#10;fZqY6QEAALsDAAAOAAAAAAAAAAEAIAAAACUBAABkcnMvZTJvRG9jLnhtbFBLBQYAAAAABgAGAFkB&#10;AACA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 Liu">
    <w15:presenceInfo w15:providerId="Windows Live" w15:userId="029fb626f0eb79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NotDisplayPageBoundaries w:val="1"/>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metasota_documentID" w:val="8755138120721502208"/>
  </w:docVars>
  <w:rsids>
    <w:rsidRoot w:val="00B85600"/>
    <w:rsid w:val="00001707"/>
    <w:rsid w:val="00001BAF"/>
    <w:rsid w:val="000035F2"/>
    <w:rsid w:val="00003CCD"/>
    <w:rsid w:val="00005546"/>
    <w:rsid w:val="00011ADD"/>
    <w:rsid w:val="00015E96"/>
    <w:rsid w:val="000206A4"/>
    <w:rsid w:val="00020998"/>
    <w:rsid w:val="000209DD"/>
    <w:rsid w:val="000323CC"/>
    <w:rsid w:val="00036729"/>
    <w:rsid w:val="00042B23"/>
    <w:rsid w:val="00042C9D"/>
    <w:rsid w:val="000532B9"/>
    <w:rsid w:val="0005340E"/>
    <w:rsid w:val="00054101"/>
    <w:rsid w:val="00056A21"/>
    <w:rsid w:val="00057843"/>
    <w:rsid w:val="00063EF7"/>
    <w:rsid w:val="0006720E"/>
    <w:rsid w:val="0006728E"/>
    <w:rsid w:val="00071829"/>
    <w:rsid w:val="00073121"/>
    <w:rsid w:val="00076203"/>
    <w:rsid w:val="00081A59"/>
    <w:rsid w:val="00082FA5"/>
    <w:rsid w:val="00097E4F"/>
    <w:rsid w:val="000A01E3"/>
    <w:rsid w:val="000A07E2"/>
    <w:rsid w:val="000A0A6C"/>
    <w:rsid w:val="000A1E1E"/>
    <w:rsid w:val="000A64D1"/>
    <w:rsid w:val="000B083A"/>
    <w:rsid w:val="000B14D3"/>
    <w:rsid w:val="000B1E93"/>
    <w:rsid w:val="000B44BE"/>
    <w:rsid w:val="000B5CB7"/>
    <w:rsid w:val="000C4151"/>
    <w:rsid w:val="000C76C2"/>
    <w:rsid w:val="000D071D"/>
    <w:rsid w:val="000D38A0"/>
    <w:rsid w:val="000D475E"/>
    <w:rsid w:val="000D5F20"/>
    <w:rsid w:val="000D624A"/>
    <w:rsid w:val="000D71A2"/>
    <w:rsid w:val="000E0F61"/>
    <w:rsid w:val="000F051B"/>
    <w:rsid w:val="000F1334"/>
    <w:rsid w:val="000F33E9"/>
    <w:rsid w:val="000F3B59"/>
    <w:rsid w:val="000F4A70"/>
    <w:rsid w:val="000F61CF"/>
    <w:rsid w:val="00104137"/>
    <w:rsid w:val="001061BB"/>
    <w:rsid w:val="0010729D"/>
    <w:rsid w:val="00115172"/>
    <w:rsid w:val="00122189"/>
    <w:rsid w:val="00123ABB"/>
    <w:rsid w:val="00124381"/>
    <w:rsid w:val="00124CDF"/>
    <w:rsid w:val="00125955"/>
    <w:rsid w:val="001260DA"/>
    <w:rsid w:val="00134F05"/>
    <w:rsid w:val="00145B13"/>
    <w:rsid w:val="00147637"/>
    <w:rsid w:val="00150603"/>
    <w:rsid w:val="00151344"/>
    <w:rsid w:val="00153120"/>
    <w:rsid w:val="00156976"/>
    <w:rsid w:val="00157134"/>
    <w:rsid w:val="00160DD3"/>
    <w:rsid w:val="00165E91"/>
    <w:rsid w:val="00174A04"/>
    <w:rsid w:val="0017669D"/>
    <w:rsid w:val="001805A1"/>
    <w:rsid w:val="00183E80"/>
    <w:rsid w:val="00191E27"/>
    <w:rsid w:val="00194452"/>
    <w:rsid w:val="00197704"/>
    <w:rsid w:val="001A1F2B"/>
    <w:rsid w:val="001A3394"/>
    <w:rsid w:val="001A3769"/>
    <w:rsid w:val="001A6D55"/>
    <w:rsid w:val="001B0ABB"/>
    <w:rsid w:val="001B3A28"/>
    <w:rsid w:val="001B417D"/>
    <w:rsid w:val="001B5A0D"/>
    <w:rsid w:val="001C1388"/>
    <w:rsid w:val="001C7CAB"/>
    <w:rsid w:val="001D039E"/>
    <w:rsid w:val="001D1E57"/>
    <w:rsid w:val="001D2037"/>
    <w:rsid w:val="001E014B"/>
    <w:rsid w:val="001E4102"/>
    <w:rsid w:val="001E5FF5"/>
    <w:rsid w:val="001F1740"/>
    <w:rsid w:val="00207B28"/>
    <w:rsid w:val="00207D85"/>
    <w:rsid w:val="002105C1"/>
    <w:rsid w:val="002207EF"/>
    <w:rsid w:val="00221ED5"/>
    <w:rsid w:val="00223427"/>
    <w:rsid w:val="0022517C"/>
    <w:rsid w:val="0023038D"/>
    <w:rsid w:val="00231547"/>
    <w:rsid w:val="00232B6A"/>
    <w:rsid w:val="00233A50"/>
    <w:rsid w:val="00243DFE"/>
    <w:rsid w:val="00244C03"/>
    <w:rsid w:val="00250859"/>
    <w:rsid w:val="00252691"/>
    <w:rsid w:val="0026023C"/>
    <w:rsid w:val="00264B3D"/>
    <w:rsid w:val="002656F7"/>
    <w:rsid w:val="002710FF"/>
    <w:rsid w:val="002728B2"/>
    <w:rsid w:val="00272C3A"/>
    <w:rsid w:val="00273BA5"/>
    <w:rsid w:val="00283066"/>
    <w:rsid w:val="00283224"/>
    <w:rsid w:val="002859C4"/>
    <w:rsid w:val="0028723D"/>
    <w:rsid w:val="00292808"/>
    <w:rsid w:val="00294E2D"/>
    <w:rsid w:val="00295361"/>
    <w:rsid w:val="002A41C7"/>
    <w:rsid w:val="002A55D5"/>
    <w:rsid w:val="002A7896"/>
    <w:rsid w:val="002B1637"/>
    <w:rsid w:val="002C1E38"/>
    <w:rsid w:val="002C2FC2"/>
    <w:rsid w:val="002C4B26"/>
    <w:rsid w:val="002C4FD8"/>
    <w:rsid w:val="002C5A39"/>
    <w:rsid w:val="002C5E15"/>
    <w:rsid w:val="002D014D"/>
    <w:rsid w:val="002D1F93"/>
    <w:rsid w:val="002E0436"/>
    <w:rsid w:val="002E1F06"/>
    <w:rsid w:val="002E4AA2"/>
    <w:rsid w:val="002E6342"/>
    <w:rsid w:val="002F1777"/>
    <w:rsid w:val="002F209F"/>
    <w:rsid w:val="002F6EA3"/>
    <w:rsid w:val="002F71E2"/>
    <w:rsid w:val="00302B70"/>
    <w:rsid w:val="00304B33"/>
    <w:rsid w:val="003054C1"/>
    <w:rsid w:val="00305711"/>
    <w:rsid w:val="00310B80"/>
    <w:rsid w:val="00312A9D"/>
    <w:rsid w:val="003136D6"/>
    <w:rsid w:val="00313780"/>
    <w:rsid w:val="00313D51"/>
    <w:rsid w:val="00315389"/>
    <w:rsid w:val="0032462E"/>
    <w:rsid w:val="0032503D"/>
    <w:rsid w:val="00326C8D"/>
    <w:rsid w:val="00331CA1"/>
    <w:rsid w:val="003341A5"/>
    <w:rsid w:val="00335B4E"/>
    <w:rsid w:val="003401A0"/>
    <w:rsid w:val="00341749"/>
    <w:rsid w:val="003452B7"/>
    <w:rsid w:val="00345D33"/>
    <w:rsid w:val="00347118"/>
    <w:rsid w:val="00350D78"/>
    <w:rsid w:val="00364F6A"/>
    <w:rsid w:val="0037238D"/>
    <w:rsid w:val="00372A9C"/>
    <w:rsid w:val="003730DF"/>
    <w:rsid w:val="00380144"/>
    <w:rsid w:val="00381BA4"/>
    <w:rsid w:val="00386535"/>
    <w:rsid w:val="00386BE2"/>
    <w:rsid w:val="003933C7"/>
    <w:rsid w:val="003962F7"/>
    <w:rsid w:val="00397C9E"/>
    <w:rsid w:val="00397E2C"/>
    <w:rsid w:val="003A4CBC"/>
    <w:rsid w:val="003A57CD"/>
    <w:rsid w:val="003B0849"/>
    <w:rsid w:val="003B156C"/>
    <w:rsid w:val="003B3CB3"/>
    <w:rsid w:val="003B3D42"/>
    <w:rsid w:val="003B472B"/>
    <w:rsid w:val="003B6E1B"/>
    <w:rsid w:val="003B7F39"/>
    <w:rsid w:val="003C3DB9"/>
    <w:rsid w:val="003C56F2"/>
    <w:rsid w:val="003C6CC3"/>
    <w:rsid w:val="003E0258"/>
    <w:rsid w:val="003E1381"/>
    <w:rsid w:val="003E66B7"/>
    <w:rsid w:val="003F3628"/>
    <w:rsid w:val="003F4CC8"/>
    <w:rsid w:val="003F4EBB"/>
    <w:rsid w:val="003F6F9F"/>
    <w:rsid w:val="003F78EF"/>
    <w:rsid w:val="0040115D"/>
    <w:rsid w:val="0041312C"/>
    <w:rsid w:val="00417527"/>
    <w:rsid w:val="0042233D"/>
    <w:rsid w:val="00432B65"/>
    <w:rsid w:val="0043602F"/>
    <w:rsid w:val="004407F4"/>
    <w:rsid w:val="00447E86"/>
    <w:rsid w:val="00451FDA"/>
    <w:rsid w:val="0045353D"/>
    <w:rsid w:val="00460113"/>
    <w:rsid w:val="004615B0"/>
    <w:rsid w:val="004626E7"/>
    <w:rsid w:val="00463281"/>
    <w:rsid w:val="00463F14"/>
    <w:rsid w:val="00472F4C"/>
    <w:rsid w:val="00477228"/>
    <w:rsid w:val="00480D5B"/>
    <w:rsid w:val="00481AAB"/>
    <w:rsid w:val="00481DE6"/>
    <w:rsid w:val="00483D5F"/>
    <w:rsid w:val="00484274"/>
    <w:rsid w:val="004852D6"/>
    <w:rsid w:val="00485322"/>
    <w:rsid w:val="00485CE9"/>
    <w:rsid w:val="0048651A"/>
    <w:rsid w:val="00491AF8"/>
    <w:rsid w:val="00491FDB"/>
    <w:rsid w:val="00492B5F"/>
    <w:rsid w:val="00493C38"/>
    <w:rsid w:val="00494902"/>
    <w:rsid w:val="00495107"/>
    <w:rsid w:val="004A00D2"/>
    <w:rsid w:val="004A58FE"/>
    <w:rsid w:val="004C4F3C"/>
    <w:rsid w:val="004C6F78"/>
    <w:rsid w:val="004D0EC7"/>
    <w:rsid w:val="004D2DBE"/>
    <w:rsid w:val="004D6289"/>
    <w:rsid w:val="004D7D6E"/>
    <w:rsid w:val="0050220C"/>
    <w:rsid w:val="00504F08"/>
    <w:rsid w:val="00506EF9"/>
    <w:rsid w:val="00510022"/>
    <w:rsid w:val="00513343"/>
    <w:rsid w:val="00513460"/>
    <w:rsid w:val="00516795"/>
    <w:rsid w:val="00520675"/>
    <w:rsid w:val="00521434"/>
    <w:rsid w:val="0052203D"/>
    <w:rsid w:val="005267CA"/>
    <w:rsid w:val="0053086E"/>
    <w:rsid w:val="005401D0"/>
    <w:rsid w:val="0054046E"/>
    <w:rsid w:val="00543B5E"/>
    <w:rsid w:val="005459D9"/>
    <w:rsid w:val="00546AB5"/>
    <w:rsid w:val="00547949"/>
    <w:rsid w:val="00550FA9"/>
    <w:rsid w:val="0055210E"/>
    <w:rsid w:val="00555ECA"/>
    <w:rsid w:val="005564CE"/>
    <w:rsid w:val="00556E95"/>
    <w:rsid w:val="005642D0"/>
    <w:rsid w:val="00564507"/>
    <w:rsid w:val="00567C46"/>
    <w:rsid w:val="00570B6F"/>
    <w:rsid w:val="00582711"/>
    <w:rsid w:val="00582890"/>
    <w:rsid w:val="0058387D"/>
    <w:rsid w:val="005932FF"/>
    <w:rsid w:val="005933E4"/>
    <w:rsid w:val="005A2B37"/>
    <w:rsid w:val="005A30C7"/>
    <w:rsid w:val="005A400A"/>
    <w:rsid w:val="005A53DD"/>
    <w:rsid w:val="005A77E4"/>
    <w:rsid w:val="005B2CB8"/>
    <w:rsid w:val="005B40BE"/>
    <w:rsid w:val="005B46A1"/>
    <w:rsid w:val="005B4E6F"/>
    <w:rsid w:val="005B75CA"/>
    <w:rsid w:val="005B7887"/>
    <w:rsid w:val="005C3799"/>
    <w:rsid w:val="005C5715"/>
    <w:rsid w:val="005D3293"/>
    <w:rsid w:val="005D37C2"/>
    <w:rsid w:val="005D4C1A"/>
    <w:rsid w:val="005D4E90"/>
    <w:rsid w:val="005E1426"/>
    <w:rsid w:val="005E3A14"/>
    <w:rsid w:val="005E3CBB"/>
    <w:rsid w:val="005E4158"/>
    <w:rsid w:val="005E48DA"/>
    <w:rsid w:val="005F14B3"/>
    <w:rsid w:val="005F3830"/>
    <w:rsid w:val="005F4113"/>
    <w:rsid w:val="005F6C1F"/>
    <w:rsid w:val="006001BB"/>
    <w:rsid w:val="00600C44"/>
    <w:rsid w:val="00601CF3"/>
    <w:rsid w:val="00604A6E"/>
    <w:rsid w:val="00610048"/>
    <w:rsid w:val="00612E98"/>
    <w:rsid w:val="006142F9"/>
    <w:rsid w:val="00615D85"/>
    <w:rsid w:val="006211C2"/>
    <w:rsid w:val="00621E3F"/>
    <w:rsid w:val="006245EA"/>
    <w:rsid w:val="00625406"/>
    <w:rsid w:val="006266D3"/>
    <w:rsid w:val="00627B2A"/>
    <w:rsid w:val="006343A6"/>
    <w:rsid w:val="0063699B"/>
    <w:rsid w:val="006409DE"/>
    <w:rsid w:val="006415F5"/>
    <w:rsid w:val="00647150"/>
    <w:rsid w:val="00647856"/>
    <w:rsid w:val="00653C6B"/>
    <w:rsid w:val="006565D9"/>
    <w:rsid w:val="006571BD"/>
    <w:rsid w:val="006638EA"/>
    <w:rsid w:val="0066506A"/>
    <w:rsid w:val="00665D99"/>
    <w:rsid w:val="00671EF8"/>
    <w:rsid w:val="006813E3"/>
    <w:rsid w:val="0068452B"/>
    <w:rsid w:val="006870EA"/>
    <w:rsid w:val="00690525"/>
    <w:rsid w:val="006929B7"/>
    <w:rsid w:val="00693727"/>
    <w:rsid w:val="00696640"/>
    <w:rsid w:val="006A02A0"/>
    <w:rsid w:val="006A38DC"/>
    <w:rsid w:val="006B47A4"/>
    <w:rsid w:val="006C271F"/>
    <w:rsid w:val="006C3BF5"/>
    <w:rsid w:val="006C5F28"/>
    <w:rsid w:val="006D019F"/>
    <w:rsid w:val="006D3CAA"/>
    <w:rsid w:val="006D46AE"/>
    <w:rsid w:val="006D7D70"/>
    <w:rsid w:val="006E0790"/>
    <w:rsid w:val="006E4F7C"/>
    <w:rsid w:val="006E5DFC"/>
    <w:rsid w:val="006E6853"/>
    <w:rsid w:val="006E6908"/>
    <w:rsid w:val="006F7CCE"/>
    <w:rsid w:val="0070284D"/>
    <w:rsid w:val="00704E40"/>
    <w:rsid w:val="00706B1A"/>
    <w:rsid w:val="00706BAB"/>
    <w:rsid w:val="0072128A"/>
    <w:rsid w:val="00721DE8"/>
    <w:rsid w:val="00723079"/>
    <w:rsid w:val="00723FD9"/>
    <w:rsid w:val="00732808"/>
    <w:rsid w:val="00740D83"/>
    <w:rsid w:val="00743B54"/>
    <w:rsid w:val="007444DB"/>
    <w:rsid w:val="007473B0"/>
    <w:rsid w:val="0075101C"/>
    <w:rsid w:val="00751440"/>
    <w:rsid w:val="007565F6"/>
    <w:rsid w:val="00757F5B"/>
    <w:rsid w:val="00760FE4"/>
    <w:rsid w:val="00761EF1"/>
    <w:rsid w:val="007628D3"/>
    <w:rsid w:val="00770165"/>
    <w:rsid w:val="007701C6"/>
    <w:rsid w:val="00770BF6"/>
    <w:rsid w:val="0077291B"/>
    <w:rsid w:val="007733E2"/>
    <w:rsid w:val="0077394D"/>
    <w:rsid w:val="00776EC4"/>
    <w:rsid w:val="0077792C"/>
    <w:rsid w:val="0078134B"/>
    <w:rsid w:val="00782014"/>
    <w:rsid w:val="00783F8F"/>
    <w:rsid w:val="007843D7"/>
    <w:rsid w:val="00787779"/>
    <w:rsid w:val="00787EAD"/>
    <w:rsid w:val="00790E2C"/>
    <w:rsid w:val="00793BD9"/>
    <w:rsid w:val="007A1E50"/>
    <w:rsid w:val="007A1F1C"/>
    <w:rsid w:val="007A4747"/>
    <w:rsid w:val="007A60A0"/>
    <w:rsid w:val="007A676E"/>
    <w:rsid w:val="007B4C97"/>
    <w:rsid w:val="007B78E5"/>
    <w:rsid w:val="007C646C"/>
    <w:rsid w:val="007C79D1"/>
    <w:rsid w:val="007D5C5E"/>
    <w:rsid w:val="007D63FF"/>
    <w:rsid w:val="007E38A2"/>
    <w:rsid w:val="007E6002"/>
    <w:rsid w:val="007E65A2"/>
    <w:rsid w:val="007E7117"/>
    <w:rsid w:val="008114F0"/>
    <w:rsid w:val="008148A6"/>
    <w:rsid w:val="008160DC"/>
    <w:rsid w:val="0081648A"/>
    <w:rsid w:val="0081717D"/>
    <w:rsid w:val="008212F4"/>
    <w:rsid w:val="008248CF"/>
    <w:rsid w:val="00825AA1"/>
    <w:rsid w:val="00825EF1"/>
    <w:rsid w:val="0083662D"/>
    <w:rsid w:val="00840B1B"/>
    <w:rsid w:val="00841D08"/>
    <w:rsid w:val="00841EAA"/>
    <w:rsid w:val="00842199"/>
    <w:rsid w:val="0084222D"/>
    <w:rsid w:val="00843A6D"/>
    <w:rsid w:val="008445E1"/>
    <w:rsid w:val="0084503B"/>
    <w:rsid w:val="00851B7F"/>
    <w:rsid w:val="00853DD2"/>
    <w:rsid w:val="00854041"/>
    <w:rsid w:val="00873A3E"/>
    <w:rsid w:val="00874F3D"/>
    <w:rsid w:val="0087718C"/>
    <w:rsid w:val="00882003"/>
    <w:rsid w:val="00883588"/>
    <w:rsid w:val="0089097E"/>
    <w:rsid w:val="00890E98"/>
    <w:rsid w:val="00894388"/>
    <w:rsid w:val="00894F1B"/>
    <w:rsid w:val="00895F44"/>
    <w:rsid w:val="008A35D9"/>
    <w:rsid w:val="008A5663"/>
    <w:rsid w:val="008B0270"/>
    <w:rsid w:val="008B1C56"/>
    <w:rsid w:val="008B681D"/>
    <w:rsid w:val="008C35DB"/>
    <w:rsid w:val="008D11F2"/>
    <w:rsid w:val="008D2194"/>
    <w:rsid w:val="008D6FC6"/>
    <w:rsid w:val="008E67FA"/>
    <w:rsid w:val="008E789E"/>
    <w:rsid w:val="008E7D7B"/>
    <w:rsid w:val="008E7E48"/>
    <w:rsid w:val="008F13FB"/>
    <w:rsid w:val="008F172B"/>
    <w:rsid w:val="008F344D"/>
    <w:rsid w:val="008F4918"/>
    <w:rsid w:val="008F6F51"/>
    <w:rsid w:val="00900796"/>
    <w:rsid w:val="00900861"/>
    <w:rsid w:val="00900F65"/>
    <w:rsid w:val="00901CA8"/>
    <w:rsid w:val="00903D79"/>
    <w:rsid w:val="0092026A"/>
    <w:rsid w:val="00923C16"/>
    <w:rsid w:val="00927A3F"/>
    <w:rsid w:val="00930AB3"/>
    <w:rsid w:val="00931C82"/>
    <w:rsid w:val="009346B9"/>
    <w:rsid w:val="00945E69"/>
    <w:rsid w:val="00946B47"/>
    <w:rsid w:val="0095200C"/>
    <w:rsid w:val="00955B66"/>
    <w:rsid w:val="00961EA1"/>
    <w:rsid w:val="00971213"/>
    <w:rsid w:val="00972899"/>
    <w:rsid w:val="009732A4"/>
    <w:rsid w:val="009753F0"/>
    <w:rsid w:val="009755F8"/>
    <w:rsid w:val="0097617B"/>
    <w:rsid w:val="00976FA1"/>
    <w:rsid w:val="00982566"/>
    <w:rsid w:val="009872FE"/>
    <w:rsid w:val="00992408"/>
    <w:rsid w:val="00997288"/>
    <w:rsid w:val="009A09F0"/>
    <w:rsid w:val="009A1694"/>
    <w:rsid w:val="009A2062"/>
    <w:rsid w:val="009A2310"/>
    <w:rsid w:val="009A2FB1"/>
    <w:rsid w:val="009A4BFB"/>
    <w:rsid w:val="009B176F"/>
    <w:rsid w:val="009B22C2"/>
    <w:rsid w:val="009B2E41"/>
    <w:rsid w:val="009B6308"/>
    <w:rsid w:val="009C0459"/>
    <w:rsid w:val="009C311F"/>
    <w:rsid w:val="009C37D5"/>
    <w:rsid w:val="009C5C45"/>
    <w:rsid w:val="009D005D"/>
    <w:rsid w:val="009D1950"/>
    <w:rsid w:val="009D31C2"/>
    <w:rsid w:val="009D4308"/>
    <w:rsid w:val="009E1839"/>
    <w:rsid w:val="009E326E"/>
    <w:rsid w:val="009E5CD6"/>
    <w:rsid w:val="009F2A87"/>
    <w:rsid w:val="009F4DFA"/>
    <w:rsid w:val="009F5708"/>
    <w:rsid w:val="00A04EC6"/>
    <w:rsid w:val="00A05168"/>
    <w:rsid w:val="00A10A77"/>
    <w:rsid w:val="00A12832"/>
    <w:rsid w:val="00A14F7A"/>
    <w:rsid w:val="00A1579F"/>
    <w:rsid w:val="00A20087"/>
    <w:rsid w:val="00A25650"/>
    <w:rsid w:val="00A33567"/>
    <w:rsid w:val="00A4370C"/>
    <w:rsid w:val="00A555E3"/>
    <w:rsid w:val="00A55F2D"/>
    <w:rsid w:val="00A60AA6"/>
    <w:rsid w:val="00A6182C"/>
    <w:rsid w:val="00A633DC"/>
    <w:rsid w:val="00A63655"/>
    <w:rsid w:val="00A6784A"/>
    <w:rsid w:val="00A70808"/>
    <w:rsid w:val="00A7571A"/>
    <w:rsid w:val="00A769F4"/>
    <w:rsid w:val="00A770A7"/>
    <w:rsid w:val="00A776F7"/>
    <w:rsid w:val="00A8000B"/>
    <w:rsid w:val="00A8635C"/>
    <w:rsid w:val="00A90885"/>
    <w:rsid w:val="00A920FD"/>
    <w:rsid w:val="00A92794"/>
    <w:rsid w:val="00A95726"/>
    <w:rsid w:val="00AA7178"/>
    <w:rsid w:val="00AC79B0"/>
    <w:rsid w:val="00AC7D16"/>
    <w:rsid w:val="00AD0908"/>
    <w:rsid w:val="00AD1038"/>
    <w:rsid w:val="00AE061B"/>
    <w:rsid w:val="00AE5BFF"/>
    <w:rsid w:val="00AE7EE0"/>
    <w:rsid w:val="00AF5E15"/>
    <w:rsid w:val="00AF69FD"/>
    <w:rsid w:val="00B0604A"/>
    <w:rsid w:val="00B06E4B"/>
    <w:rsid w:val="00B12256"/>
    <w:rsid w:val="00B174A7"/>
    <w:rsid w:val="00B33F18"/>
    <w:rsid w:val="00B34619"/>
    <w:rsid w:val="00B352A8"/>
    <w:rsid w:val="00B3578A"/>
    <w:rsid w:val="00B401A3"/>
    <w:rsid w:val="00B40300"/>
    <w:rsid w:val="00B41955"/>
    <w:rsid w:val="00B41AF6"/>
    <w:rsid w:val="00B46794"/>
    <w:rsid w:val="00B503DD"/>
    <w:rsid w:val="00B6267C"/>
    <w:rsid w:val="00B676D3"/>
    <w:rsid w:val="00B7041D"/>
    <w:rsid w:val="00B76367"/>
    <w:rsid w:val="00B82843"/>
    <w:rsid w:val="00B83FDC"/>
    <w:rsid w:val="00B85600"/>
    <w:rsid w:val="00B858C1"/>
    <w:rsid w:val="00B86903"/>
    <w:rsid w:val="00B92CE8"/>
    <w:rsid w:val="00B94935"/>
    <w:rsid w:val="00B95565"/>
    <w:rsid w:val="00B95E8F"/>
    <w:rsid w:val="00BA3632"/>
    <w:rsid w:val="00BA3879"/>
    <w:rsid w:val="00BB324B"/>
    <w:rsid w:val="00BC3739"/>
    <w:rsid w:val="00BC4B6A"/>
    <w:rsid w:val="00BC6129"/>
    <w:rsid w:val="00BD026F"/>
    <w:rsid w:val="00BD4F52"/>
    <w:rsid w:val="00BF3A04"/>
    <w:rsid w:val="00BF47F7"/>
    <w:rsid w:val="00C01AE0"/>
    <w:rsid w:val="00C01CB7"/>
    <w:rsid w:val="00C04EBD"/>
    <w:rsid w:val="00C0563E"/>
    <w:rsid w:val="00C1107E"/>
    <w:rsid w:val="00C13071"/>
    <w:rsid w:val="00C141B8"/>
    <w:rsid w:val="00C2051D"/>
    <w:rsid w:val="00C20CBE"/>
    <w:rsid w:val="00C242F5"/>
    <w:rsid w:val="00C250F6"/>
    <w:rsid w:val="00C423AA"/>
    <w:rsid w:val="00C4315C"/>
    <w:rsid w:val="00C446D1"/>
    <w:rsid w:val="00C45B4E"/>
    <w:rsid w:val="00C504AD"/>
    <w:rsid w:val="00C5291E"/>
    <w:rsid w:val="00C56574"/>
    <w:rsid w:val="00C56848"/>
    <w:rsid w:val="00C607A6"/>
    <w:rsid w:val="00C60DDE"/>
    <w:rsid w:val="00C74360"/>
    <w:rsid w:val="00C773E4"/>
    <w:rsid w:val="00C77FF6"/>
    <w:rsid w:val="00C8200C"/>
    <w:rsid w:val="00C84FBA"/>
    <w:rsid w:val="00C927BB"/>
    <w:rsid w:val="00C92A24"/>
    <w:rsid w:val="00C9343B"/>
    <w:rsid w:val="00C94BB1"/>
    <w:rsid w:val="00CA2B36"/>
    <w:rsid w:val="00CA55AE"/>
    <w:rsid w:val="00CA62A3"/>
    <w:rsid w:val="00CA6EF4"/>
    <w:rsid w:val="00CA790A"/>
    <w:rsid w:val="00CB314A"/>
    <w:rsid w:val="00CC2477"/>
    <w:rsid w:val="00CD6AFC"/>
    <w:rsid w:val="00CE001E"/>
    <w:rsid w:val="00CE07B1"/>
    <w:rsid w:val="00CE2399"/>
    <w:rsid w:val="00CE46D8"/>
    <w:rsid w:val="00CE66F1"/>
    <w:rsid w:val="00CE6AB6"/>
    <w:rsid w:val="00CE6BB8"/>
    <w:rsid w:val="00CF141B"/>
    <w:rsid w:val="00CF27F5"/>
    <w:rsid w:val="00CF2FDE"/>
    <w:rsid w:val="00CF5532"/>
    <w:rsid w:val="00D02346"/>
    <w:rsid w:val="00D069BF"/>
    <w:rsid w:val="00D110EF"/>
    <w:rsid w:val="00D11CDD"/>
    <w:rsid w:val="00D12672"/>
    <w:rsid w:val="00D15F00"/>
    <w:rsid w:val="00D236CA"/>
    <w:rsid w:val="00D26ED0"/>
    <w:rsid w:val="00D27796"/>
    <w:rsid w:val="00D32A68"/>
    <w:rsid w:val="00D4171A"/>
    <w:rsid w:val="00D42820"/>
    <w:rsid w:val="00D525F7"/>
    <w:rsid w:val="00D5332C"/>
    <w:rsid w:val="00D53DB4"/>
    <w:rsid w:val="00D643C7"/>
    <w:rsid w:val="00D6467D"/>
    <w:rsid w:val="00D64847"/>
    <w:rsid w:val="00D706D1"/>
    <w:rsid w:val="00D71949"/>
    <w:rsid w:val="00D72C27"/>
    <w:rsid w:val="00D7488C"/>
    <w:rsid w:val="00D76AFD"/>
    <w:rsid w:val="00D81A8C"/>
    <w:rsid w:val="00D823FD"/>
    <w:rsid w:val="00D837F3"/>
    <w:rsid w:val="00D8473F"/>
    <w:rsid w:val="00D863B8"/>
    <w:rsid w:val="00D9489D"/>
    <w:rsid w:val="00DA126E"/>
    <w:rsid w:val="00DA1FE8"/>
    <w:rsid w:val="00DA23D6"/>
    <w:rsid w:val="00DA2570"/>
    <w:rsid w:val="00DA3528"/>
    <w:rsid w:val="00DA3A16"/>
    <w:rsid w:val="00DA5AE0"/>
    <w:rsid w:val="00DB1445"/>
    <w:rsid w:val="00DB188B"/>
    <w:rsid w:val="00DB47FD"/>
    <w:rsid w:val="00DB54C3"/>
    <w:rsid w:val="00DB7DB2"/>
    <w:rsid w:val="00DC202F"/>
    <w:rsid w:val="00DC4F26"/>
    <w:rsid w:val="00DD2F86"/>
    <w:rsid w:val="00DD5030"/>
    <w:rsid w:val="00DD75A5"/>
    <w:rsid w:val="00DE1DBD"/>
    <w:rsid w:val="00DE455A"/>
    <w:rsid w:val="00DE563E"/>
    <w:rsid w:val="00DE6634"/>
    <w:rsid w:val="00DF07A5"/>
    <w:rsid w:val="00DF285B"/>
    <w:rsid w:val="00DF3A7B"/>
    <w:rsid w:val="00DF55E5"/>
    <w:rsid w:val="00E00581"/>
    <w:rsid w:val="00E050A2"/>
    <w:rsid w:val="00E05A66"/>
    <w:rsid w:val="00E11770"/>
    <w:rsid w:val="00E1401A"/>
    <w:rsid w:val="00E14FF1"/>
    <w:rsid w:val="00E205DD"/>
    <w:rsid w:val="00E21BE5"/>
    <w:rsid w:val="00E30E89"/>
    <w:rsid w:val="00E33967"/>
    <w:rsid w:val="00E36666"/>
    <w:rsid w:val="00E3756F"/>
    <w:rsid w:val="00E45E83"/>
    <w:rsid w:val="00E45EE0"/>
    <w:rsid w:val="00E460B3"/>
    <w:rsid w:val="00E51A99"/>
    <w:rsid w:val="00E52243"/>
    <w:rsid w:val="00E53859"/>
    <w:rsid w:val="00E53B93"/>
    <w:rsid w:val="00E5709A"/>
    <w:rsid w:val="00E57286"/>
    <w:rsid w:val="00E60373"/>
    <w:rsid w:val="00E60B81"/>
    <w:rsid w:val="00E65114"/>
    <w:rsid w:val="00E66234"/>
    <w:rsid w:val="00E732B1"/>
    <w:rsid w:val="00E77A7D"/>
    <w:rsid w:val="00E77FD9"/>
    <w:rsid w:val="00E807F1"/>
    <w:rsid w:val="00E83E07"/>
    <w:rsid w:val="00E865A3"/>
    <w:rsid w:val="00E8773E"/>
    <w:rsid w:val="00E9019D"/>
    <w:rsid w:val="00E94780"/>
    <w:rsid w:val="00E95D97"/>
    <w:rsid w:val="00EA7B7E"/>
    <w:rsid w:val="00EB3B96"/>
    <w:rsid w:val="00EB42F6"/>
    <w:rsid w:val="00EB635F"/>
    <w:rsid w:val="00EB77CA"/>
    <w:rsid w:val="00EC17A1"/>
    <w:rsid w:val="00EC4C71"/>
    <w:rsid w:val="00EC5089"/>
    <w:rsid w:val="00ED006E"/>
    <w:rsid w:val="00ED095C"/>
    <w:rsid w:val="00ED3F9E"/>
    <w:rsid w:val="00ED51CA"/>
    <w:rsid w:val="00ED55B1"/>
    <w:rsid w:val="00EE26B5"/>
    <w:rsid w:val="00EE443A"/>
    <w:rsid w:val="00EE5EB6"/>
    <w:rsid w:val="00EF2379"/>
    <w:rsid w:val="00EF27B0"/>
    <w:rsid w:val="00EF4074"/>
    <w:rsid w:val="00EF7D51"/>
    <w:rsid w:val="00F0440D"/>
    <w:rsid w:val="00F04AD3"/>
    <w:rsid w:val="00F0766D"/>
    <w:rsid w:val="00F128EB"/>
    <w:rsid w:val="00F14079"/>
    <w:rsid w:val="00F15FCB"/>
    <w:rsid w:val="00F20439"/>
    <w:rsid w:val="00F20A09"/>
    <w:rsid w:val="00F21E14"/>
    <w:rsid w:val="00F30C50"/>
    <w:rsid w:val="00F36BF5"/>
    <w:rsid w:val="00F40D4F"/>
    <w:rsid w:val="00F42AE4"/>
    <w:rsid w:val="00F4366D"/>
    <w:rsid w:val="00F502EA"/>
    <w:rsid w:val="00F50660"/>
    <w:rsid w:val="00F508D0"/>
    <w:rsid w:val="00F50C3E"/>
    <w:rsid w:val="00F52ADE"/>
    <w:rsid w:val="00F60204"/>
    <w:rsid w:val="00F63AE7"/>
    <w:rsid w:val="00F669A4"/>
    <w:rsid w:val="00F70C66"/>
    <w:rsid w:val="00F77095"/>
    <w:rsid w:val="00F82851"/>
    <w:rsid w:val="00F86FAC"/>
    <w:rsid w:val="00F93BAE"/>
    <w:rsid w:val="00F94512"/>
    <w:rsid w:val="00F9499B"/>
    <w:rsid w:val="00F94D8D"/>
    <w:rsid w:val="00F97812"/>
    <w:rsid w:val="00FA7A1C"/>
    <w:rsid w:val="00FB33C9"/>
    <w:rsid w:val="00FB4F6F"/>
    <w:rsid w:val="00FB7B19"/>
    <w:rsid w:val="00FC141C"/>
    <w:rsid w:val="00FC1FC4"/>
    <w:rsid w:val="00FC4542"/>
    <w:rsid w:val="00FD07C2"/>
    <w:rsid w:val="00FD0EAE"/>
    <w:rsid w:val="00FD1C26"/>
    <w:rsid w:val="00FD1E1C"/>
    <w:rsid w:val="00FD203E"/>
    <w:rsid w:val="00FD2641"/>
    <w:rsid w:val="00FD3683"/>
    <w:rsid w:val="00FD4F77"/>
    <w:rsid w:val="00FD6522"/>
    <w:rsid w:val="00FE1184"/>
    <w:rsid w:val="00FE3179"/>
    <w:rsid w:val="00FE52E5"/>
    <w:rsid w:val="00FE5775"/>
    <w:rsid w:val="00FE63D2"/>
    <w:rsid w:val="00FF5ABC"/>
    <w:rsid w:val="07B1130C"/>
    <w:rsid w:val="11440C8B"/>
    <w:rsid w:val="24076F75"/>
    <w:rsid w:val="278D176B"/>
    <w:rsid w:val="2F702F30"/>
    <w:rsid w:val="3BB90649"/>
    <w:rsid w:val="5E4F4EF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3"/>
    <w:unhideWhenUsed/>
    <w:qFormat/>
    <w:uiPriority w:val="0"/>
    <w:pPr>
      <w:jc w:val="left"/>
    </w:pPr>
  </w:style>
  <w:style w:type="paragraph" w:styleId="4">
    <w:name w:val="Body Text Indent"/>
    <w:basedOn w:val="1"/>
    <w:link w:val="28"/>
    <w:uiPriority w:val="0"/>
    <w:pPr>
      <w:spacing w:after="120"/>
      <w:ind w:left="420" w:leftChars="200"/>
    </w:pPr>
    <w:rPr>
      <w:rFonts w:ascii="Times New Roman" w:hAnsi="Times New Roman" w:eastAsia="宋体" w:cs="Times New Roman"/>
      <w:szCs w:val="24"/>
    </w:rPr>
  </w:style>
  <w:style w:type="paragraph" w:styleId="5">
    <w:name w:val="Body Text Indent 2"/>
    <w:basedOn w:val="1"/>
    <w:link w:val="19"/>
    <w:qFormat/>
    <w:uiPriority w:val="0"/>
    <w:pPr>
      <w:tabs>
        <w:tab w:val="left" w:pos="0"/>
        <w:tab w:val="left" w:pos="360"/>
        <w:tab w:val="left" w:pos="540"/>
        <w:tab w:val="left" w:pos="720"/>
      </w:tabs>
      <w:spacing w:line="480" w:lineRule="exact"/>
      <w:ind w:firstLine="538" w:firstLineChars="192"/>
    </w:pPr>
    <w:rPr>
      <w:rFonts w:ascii="宋体" w:hAnsi="宋体"/>
      <w:color w:val="000000"/>
      <w:sz w:val="28"/>
    </w:rPr>
  </w:style>
  <w:style w:type="paragraph" w:styleId="6">
    <w:name w:val="Balloon Text"/>
    <w:basedOn w:val="1"/>
    <w:link w:val="21"/>
    <w:semiHidden/>
    <w:unhideWhenUsed/>
    <w:qFormat/>
    <w:uiPriority w:val="99"/>
    <w:rPr>
      <w:sz w:val="18"/>
      <w:szCs w:val="18"/>
    </w:r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0">
    <w:name w:val="annotation subject"/>
    <w:basedOn w:val="3"/>
    <w:next w:val="3"/>
    <w:link w:val="24"/>
    <w:semiHidden/>
    <w:unhideWhenUsed/>
    <w:qFormat/>
    <w:uiPriority w:val="99"/>
    <w:rPr>
      <w:b/>
      <w:bCs/>
    </w:rPr>
  </w:style>
  <w:style w:type="character" w:styleId="13">
    <w:name w:val="Strong"/>
    <w:basedOn w:val="12"/>
    <w:qFormat/>
    <w:uiPriority w:val="22"/>
    <w:rPr>
      <w:b/>
    </w:rPr>
  </w:style>
  <w:style w:type="character" w:styleId="14">
    <w:name w:val="HTML Code"/>
    <w:basedOn w:val="12"/>
    <w:semiHidden/>
    <w:unhideWhenUsed/>
    <w:uiPriority w:val="99"/>
    <w:rPr>
      <w:rFonts w:ascii="Courier New" w:hAnsi="Courier New"/>
      <w:sz w:val="20"/>
    </w:rPr>
  </w:style>
  <w:style w:type="character" w:styleId="15">
    <w:name w:val="annotation reference"/>
    <w:basedOn w:val="12"/>
    <w:unhideWhenUsed/>
    <w:qFormat/>
    <w:uiPriority w:val="0"/>
    <w:rPr>
      <w:sz w:val="21"/>
      <w:szCs w:val="21"/>
    </w:rPr>
  </w:style>
  <w:style w:type="character" w:customStyle="1" w:styleId="16">
    <w:name w:val="页眉 字符"/>
    <w:basedOn w:val="12"/>
    <w:link w:val="8"/>
    <w:qFormat/>
    <w:uiPriority w:val="99"/>
    <w:rPr>
      <w:sz w:val="18"/>
      <w:szCs w:val="18"/>
    </w:rPr>
  </w:style>
  <w:style w:type="character" w:customStyle="1" w:styleId="17">
    <w:name w:val="页脚 字符"/>
    <w:basedOn w:val="12"/>
    <w:link w:val="7"/>
    <w:qFormat/>
    <w:uiPriority w:val="99"/>
    <w:rPr>
      <w:sz w:val="18"/>
      <w:szCs w:val="18"/>
    </w:rPr>
  </w:style>
  <w:style w:type="character" w:styleId="18">
    <w:name w:val="Placeholder Text"/>
    <w:basedOn w:val="12"/>
    <w:semiHidden/>
    <w:qFormat/>
    <w:uiPriority w:val="99"/>
    <w:rPr>
      <w:color w:val="808080"/>
    </w:rPr>
  </w:style>
  <w:style w:type="character" w:customStyle="1" w:styleId="19">
    <w:name w:val="正文文本缩进 2 字符"/>
    <w:link w:val="5"/>
    <w:qFormat/>
    <w:uiPriority w:val="0"/>
    <w:rPr>
      <w:rFonts w:ascii="宋体" w:hAnsi="宋体"/>
      <w:color w:val="000000"/>
      <w:sz w:val="28"/>
    </w:rPr>
  </w:style>
  <w:style w:type="character" w:customStyle="1" w:styleId="20">
    <w:name w:val="正文文本缩进 2 Char1"/>
    <w:basedOn w:val="12"/>
    <w:semiHidden/>
    <w:qFormat/>
    <w:uiPriority w:val="99"/>
  </w:style>
  <w:style w:type="character" w:customStyle="1" w:styleId="21">
    <w:name w:val="批注框文本 字符"/>
    <w:basedOn w:val="12"/>
    <w:link w:val="6"/>
    <w:semiHidden/>
    <w:qFormat/>
    <w:uiPriority w:val="99"/>
    <w:rPr>
      <w:sz w:val="18"/>
      <w:szCs w:val="18"/>
    </w:rPr>
  </w:style>
  <w:style w:type="character" w:customStyle="1" w:styleId="22">
    <w:name w:val="标题 1 字符"/>
    <w:basedOn w:val="12"/>
    <w:link w:val="2"/>
    <w:qFormat/>
    <w:uiPriority w:val="9"/>
    <w:rPr>
      <w:b/>
      <w:bCs/>
      <w:kern w:val="44"/>
      <w:sz w:val="44"/>
      <w:szCs w:val="44"/>
    </w:rPr>
  </w:style>
  <w:style w:type="character" w:customStyle="1" w:styleId="23">
    <w:name w:val="批注文字 字符1"/>
    <w:basedOn w:val="12"/>
    <w:link w:val="3"/>
    <w:qFormat/>
    <w:uiPriority w:val="0"/>
  </w:style>
  <w:style w:type="character" w:customStyle="1" w:styleId="24">
    <w:name w:val="批注主题 字符"/>
    <w:basedOn w:val="23"/>
    <w:link w:val="10"/>
    <w:semiHidden/>
    <w:qFormat/>
    <w:uiPriority w:val="99"/>
    <w:rPr>
      <w:b/>
      <w:bCs/>
    </w:rPr>
  </w:style>
  <w:style w:type="paragraph" w:customStyle="1" w:styleId="25">
    <w:name w:val="body"/>
    <w:basedOn w:val="1"/>
    <w:link w:val="29"/>
    <w:qFormat/>
    <w:uiPriority w:val="0"/>
    <w:pPr>
      <w:widowControl/>
      <w:spacing w:line="360" w:lineRule="auto"/>
      <w:ind w:firstLine="200" w:firstLineChars="200"/>
    </w:pPr>
    <w:rPr>
      <w:kern w:val="0"/>
      <w:sz w:val="24"/>
    </w:rPr>
  </w:style>
  <w:style w:type="character" w:customStyle="1" w:styleId="26">
    <w:name w:val="批注文字 字符"/>
    <w:qFormat/>
    <w:uiPriority w:val="0"/>
  </w:style>
  <w:style w:type="character" w:customStyle="1" w:styleId="27">
    <w:name w:val="正文文本缩进 Char"/>
    <w:basedOn w:val="12"/>
    <w:semiHidden/>
    <w:qFormat/>
    <w:uiPriority w:val="99"/>
    <w:rPr>
      <w:kern w:val="2"/>
      <w:sz w:val="21"/>
      <w:szCs w:val="22"/>
    </w:rPr>
  </w:style>
  <w:style w:type="character" w:customStyle="1" w:styleId="28">
    <w:name w:val="正文文本缩进 字符"/>
    <w:link w:val="4"/>
    <w:qFormat/>
    <w:uiPriority w:val="0"/>
    <w:rPr>
      <w:rFonts w:ascii="Times New Roman" w:hAnsi="Times New Roman" w:eastAsia="宋体" w:cs="Times New Roman"/>
      <w:kern w:val="2"/>
      <w:sz w:val="21"/>
      <w:szCs w:val="24"/>
    </w:rPr>
  </w:style>
  <w:style w:type="character" w:customStyle="1" w:styleId="29">
    <w:name w:val="body Char"/>
    <w:link w:val="25"/>
    <w:qFormat/>
    <w:uiPriority w:val="0"/>
    <w:rPr>
      <w:sz w:val="24"/>
      <w:szCs w:val="22"/>
    </w:rPr>
  </w:style>
  <w:style w:type="paragraph" w:customStyle="1" w:styleId="30">
    <w:name w:val="_Style 26"/>
    <w:basedOn w:val="1"/>
    <w:next w:val="31"/>
    <w:qFormat/>
    <w:uiPriority w:val="99"/>
    <w:pPr>
      <w:widowControl/>
      <w:ind w:left="720"/>
      <w:contextualSpacing/>
      <w:jc w:val="left"/>
    </w:pPr>
    <w:rPr>
      <w:rFonts w:ascii="Calibri" w:hAnsi="Calibri" w:eastAsia="宋体" w:cs="Times New Roman"/>
      <w:kern w:val="0"/>
      <w:sz w:val="24"/>
      <w:szCs w:val="24"/>
    </w:rPr>
  </w:style>
  <w:style w:type="paragraph" w:styleId="31">
    <w:name w:val="List Paragraph"/>
    <w:basedOn w:val="1"/>
    <w:unhideWhenUsed/>
    <w:qFormat/>
    <w:uiPriority w:val="99"/>
    <w:pPr>
      <w:ind w:firstLine="420" w:firstLineChars="200"/>
    </w:pPr>
  </w:style>
  <w:style w:type="character" w:customStyle="1" w:styleId="32">
    <w:name w:val="页脚 Char"/>
    <w:qFormat/>
    <w:uiPriority w:val="99"/>
    <w:rPr>
      <w:kern w:val="2"/>
      <w:sz w:val="18"/>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customXml" Target="../customXml/item1.xml"/><Relationship Id="rId24" Type="http://schemas.openxmlformats.org/officeDocument/2006/relationships/image" Target="media/image2.emf"/><Relationship Id="rId23" Type="http://schemas.openxmlformats.org/officeDocument/2006/relationships/package" Target="embeddings/Microsoft_Visio___3.vsdx"/><Relationship Id="rId22" Type="http://schemas.openxmlformats.org/officeDocument/2006/relationships/package" Target="embeddings/Microsoft_Visio___2.vsdx"/><Relationship Id="rId21" Type="http://schemas.openxmlformats.org/officeDocument/2006/relationships/image" Target="media/image1.emf"/><Relationship Id="rId20" Type="http://schemas.openxmlformats.org/officeDocument/2006/relationships/package" Target="embeddings/Microsoft_Visio___1.vsdx"/><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1E4CC3-6A97-4A72-9E2A-D25304452E9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20</Pages>
  <Words>937</Words>
  <Characters>978</Characters>
  <Lines>70</Lines>
  <Paragraphs>19</Paragraphs>
  <TotalTime>316</TotalTime>
  <ScaleCrop>false</ScaleCrop>
  <LinksUpToDate>false</LinksUpToDate>
  <CharactersWithSpaces>978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2021-07-26T03:42:00Z</dcterms:created>
  <dc:creator>admin</dc:creator>
  <cp:lastModifiedBy>1</cp:lastModifiedBy>
  <dcterms:modified xsi:type="dcterms:W3CDTF">2026-06-22T02:56:42Z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F54024608F4E439AA70576D6944BC992_13</vt:lpwstr>
  </property>
  <property fmtid="{D5CDD505-2E9C-101B-9397-08002B2CF9AE}" pid="4" name="KSOTemplateDocerSaveRecord">
    <vt:lpwstr>eyJoZGlkIjoiM2JmYWIyMjA4MGQwYjY5OWUzZjAzM2E5MTZkYjcyYTEiLCJ1c2VySWQiOiI0MTkyNzE2In0=</vt:lpwstr>
  </property>
</Properties>
</file>