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CCCCCC"/>
        <w:tblCellMar>
          <w:top w:w="33" w:type="dxa"/>
          <w:left w:w="33" w:type="dxa"/>
          <w:bottom w:w="33" w:type="dxa"/>
          <w:right w:w="33" w:type="dxa"/>
        </w:tblCellMar>
        <w:tblLook w:val="04A0" w:firstRow="1" w:lastRow="0" w:firstColumn="1" w:lastColumn="0" w:noHBand="0" w:noVBand="1"/>
      </w:tblPr>
      <w:tblGrid>
        <w:gridCol w:w="4186"/>
        <w:gridCol w:w="4186"/>
      </w:tblGrid>
      <w:tr w:rsidR="00806964" w:rsidRPr="00806964" w:rsidTr="00806964"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kern w:val="0"/>
                <w:sz w:val="18"/>
                <w:szCs w:val="18"/>
              </w:rPr>
              <w:t>一、自核总金额及人员条件规则：</w: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2" type="#_x0000_t75" style="width:1in;height:18.4pt" o:ole="">
                  <v:imagedata r:id="rId7" o:title=""/>
                </v:shape>
                <w:control r:id="rId8" w:name="DefaultOcxName3" w:shapeid="_x0000_i1112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01、</w:t>
            </w:r>
            <w:proofErr w:type="gramStart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纯车损定损金额</w:t>
            </w:r>
            <w:proofErr w:type="gramEnd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≤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15" type="#_x0000_t75" style="width:1in;height:18.4pt" o:ole="">
                  <v:imagedata r:id="rId9" o:title=""/>
                </v:shape>
                <w:control r:id="rId10" w:name="DefaultOcxName4" w:shapeid="_x0000_i1115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元，或</w:t>
            </w:r>
            <w:proofErr w:type="gramStart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物损定损金额</w:t>
            </w:r>
            <w:proofErr w:type="gramEnd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≤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18" type="#_x0000_t75" style="width:1in;height:18.4pt" o:ole="">
                  <v:imagedata r:id="rId11" o:title=""/>
                </v:shape>
                <w:control r:id="rId12" w:name="DefaultOcxName5" w:shapeid="_x0000_i1118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元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21" type="#_x0000_t75" style="width:55.25pt;height:18.4pt" o:ole="">
                  <v:imagedata r:id="rId13" o:title=""/>
                </v:shape>
                <w:control r:id="rId14" w:name="DefaultOcxName6" w:shapeid="_x0000_i1121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24" type="#_x0000_t75" style="width:1in;height:18.4pt" o:ole="">
                  <v:imagedata r:id="rId15" o:title=""/>
                </v:shape>
                <w:control r:id="rId16" w:name="DefaultOcxName7" w:shapeid="_x0000_i1124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02、查勘定损人员是否配置核损权限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27" type="#_x0000_t75" style="width:55.25pt;height:18.4pt" o:ole="">
                  <v:imagedata r:id="rId13" o:title=""/>
                </v:shape>
                <w:control r:id="rId17" w:name="DefaultOcxName8" w:shapeid="_x0000_i1127"/>
              </w:object>
            </w:r>
          </w:p>
        </w:tc>
      </w:tr>
      <w:tr w:rsidR="00806964" w:rsidRPr="00806964" w:rsidTr="00806964"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kern w:val="0"/>
                <w:sz w:val="18"/>
                <w:szCs w:val="18"/>
              </w:rPr>
              <w:t>二、欺诈风险规则：</w: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30" type="#_x0000_t75" style="width:1in;height:18.4pt" o:ole="">
                  <v:imagedata r:id="rId18" o:title=""/>
                </v:shape>
                <w:control r:id="rId19" w:name="DefaultOcxName9" w:shapeid="_x0000_i1130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03、</w:t>
            </w:r>
            <w:proofErr w:type="gramStart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定损非第一次</w:t>
            </w:r>
            <w:proofErr w:type="gramEnd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提交的，</w:t>
            </w:r>
            <w:proofErr w:type="gramStart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禁止自</w:t>
            </w:r>
            <w:proofErr w:type="gramEnd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核损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33" type="#_x0000_t75" style="width:55.25pt;height:18.4pt" o:ole="">
                  <v:imagedata r:id="rId13" o:title=""/>
                </v:shape>
                <w:control r:id="rId20" w:name="DefaultOcxName10" w:shapeid="_x0000_i1133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36" type="#_x0000_t75" style="width:1in;height:18.4pt" o:ole="">
                  <v:imagedata r:id="rId21" o:title=""/>
                </v:shape>
                <w:control r:id="rId22" w:name="DefaultOcxName11" w:shapeid="_x0000_i1136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04、不存在同一驾驶员驾驶不同车辆在我司多次出险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39" type="#_x0000_t75" style="width:55.25pt;height:18.4pt" o:ole="">
                  <v:imagedata r:id="rId23" o:title=""/>
                </v:shape>
                <w:control r:id="rId24" w:name="DefaultOcxName12" w:shapeid="_x0000_i1139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42" type="#_x0000_t75" style="width:1in;height:18.4pt" o:ole="">
                  <v:imagedata r:id="rId25" o:title=""/>
                </v:shape>
                <w:control r:id="rId26" w:name="DefaultOcxName13" w:shapeid="_x0000_i1142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05、出险时间不在承保起期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45" type="#_x0000_t75" style="width:1in;height:18.4pt" o:ole="">
                  <v:imagedata r:id="rId27" o:title=""/>
                </v:shape>
                <w:control r:id="rId28" w:name="DefaultOcxName14" w:shapeid="_x0000_i1145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天或到期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48" type="#_x0000_t75" style="width:1in;height:18.4pt" o:ole="">
                  <v:imagedata r:id="rId27" o:title=""/>
                </v:shape>
                <w:control r:id="rId29" w:name="DefaultOcxName15" w:shapeid="_x0000_i1148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天内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51" type="#_x0000_t75" style="width:55.25pt;height:18.4pt" o:ole="">
                  <v:imagedata r:id="rId13" o:title=""/>
                </v:shape>
                <w:control r:id="rId30" w:name="DefaultOcxName16" w:shapeid="_x0000_i1151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54" type="#_x0000_t75" style="width:1in;height:18.4pt" o:ole="">
                  <v:imagedata r:id="rId31" o:title=""/>
                </v:shape>
                <w:control r:id="rId32" w:name="DefaultOcxName17" w:shapeid="_x0000_i1154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06、一个保单年度内出险记录≤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57" type="#_x0000_t75" style="width:1in;height:18.4pt" o:ole="">
                  <v:imagedata r:id="rId33" o:title=""/>
                </v:shape>
                <w:control r:id="rId34" w:name="DefaultOcxName18" w:shapeid="_x0000_i1157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次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60" type="#_x0000_t75" style="width:55.25pt;height:18.4pt" o:ole="">
                  <v:imagedata r:id="rId13" o:title=""/>
                </v:shape>
                <w:control r:id="rId35" w:name="DefaultOcxName19" w:shapeid="_x0000_i1160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63" type="#_x0000_t75" style="width:1in;height:18.4pt" o:ole="">
                  <v:imagedata r:id="rId36" o:title=""/>
                </v:shape>
                <w:control r:id="rId37" w:name="DefaultOcxName20" w:shapeid="_x0000_i1163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07、当定</w:t>
            </w:r>
            <w:proofErr w:type="gramStart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损</w:t>
            </w:r>
            <w:proofErr w:type="gramEnd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提交总金额≥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66" type="#_x0000_t75" style="width:1in;height:18.4pt" o:ole="">
                  <v:imagedata r:id="rId38" o:title=""/>
                </v:shape>
                <w:control r:id="rId39" w:name="DefaultOcxName21" w:shapeid="_x0000_i1166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元时，则反欺诈评分须≤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69" type="#_x0000_t75" style="width:1in;height:18.4pt" o:ole="">
                  <v:imagedata r:id="rId40" o:title=""/>
                </v:shape>
                <w:control r:id="rId41" w:name="DefaultOcxName22" w:shapeid="_x0000_i1169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分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72" type="#_x0000_t75" style="width:55.25pt;height:18.4pt" o:ole="">
                  <v:imagedata r:id="rId13" o:title=""/>
                </v:shape>
                <w:control r:id="rId42" w:name="DefaultOcxName23" w:shapeid="_x0000_i1172"/>
              </w:object>
            </w:r>
          </w:p>
        </w:tc>
      </w:tr>
      <w:tr w:rsidR="00806964" w:rsidRPr="00806964" w:rsidTr="00806964"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kern w:val="0"/>
                <w:sz w:val="18"/>
                <w:szCs w:val="18"/>
              </w:rPr>
              <w:t>三、配件、工时条件规则：</w: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75" type="#_x0000_t75" style="width:1in;height:18.4pt" o:ole="">
                  <v:imagedata r:id="rId43" o:title=""/>
                </v:shape>
                <w:control r:id="rId44" w:name="DefaultOcxName24" w:shapeid="_x0000_i1175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08、存在点选配件的单个点选配件不超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78" type="#_x0000_t75" style="width:1in;height:18.4pt" o:ole="">
                  <v:imagedata r:id="rId45" o:title=""/>
                </v:shape>
                <w:control r:id="rId46" w:name="DefaultOcxName25" w:shapeid="_x0000_i1178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元，点选配件总额不超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81" type="#_x0000_t75" style="width:1in;height:18.4pt" o:ole="">
                  <v:imagedata r:id="rId47" o:title=""/>
                </v:shape>
                <w:control r:id="rId48" w:name="DefaultOcxName26" w:shapeid="_x0000_i1181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元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84" type="#_x0000_t75" style="width:55.25pt;height:18.4pt" o:ole="">
                  <v:imagedata r:id="rId13" o:title=""/>
                </v:shape>
                <w:control r:id="rId49" w:name="DefaultOcxName27" w:shapeid="_x0000_i1184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87" type="#_x0000_t75" style="width:1in;height:18.4pt" o:ole="">
                  <v:imagedata r:id="rId50" o:title=""/>
                </v:shape>
                <w:control r:id="rId51" w:name="DefaultOcxName28" w:shapeid="_x0000_i1187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09、存在自定义配件的单个自定义配件不超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90" type="#_x0000_t75" style="width:1in;height:18.4pt" o:ole="">
                  <v:imagedata r:id="rId52" o:title=""/>
                </v:shape>
                <w:control r:id="rId53" w:name="DefaultOcxName29" w:shapeid="_x0000_i1190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元，自定义配件总额不超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93" type="#_x0000_t75" style="width:1in;height:18.4pt" o:ole="">
                  <v:imagedata r:id="rId54" o:title=""/>
                </v:shape>
                <w:control r:id="rId55" w:name="DefaultOcxName30" w:shapeid="_x0000_i1193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元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96" type="#_x0000_t75" style="width:55.25pt;height:18.4pt" o:ole="">
                  <v:imagedata r:id="rId13" o:title=""/>
                </v:shape>
                <w:control r:id="rId56" w:name="DefaultOcxName31" w:shapeid="_x0000_i1196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199" type="#_x0000_t75" style="width:1in;height:18.4pt" o:ole="">
                  <v:imagedata r:id="rId57" o:title=""/>
                </v:shape>
                <w:control r:id="rId58" w:name="DefaultOcxName32" w:shapeid="_x0000_i1199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10、价格方案为4S价格方案的，各单个点选配</w:t>
            </w:r>
            <w:proofErr w:type="gramStart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件金额</w:t>
            </w:r>
            <w:proofErr w:type="gramEnd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不高于系统价格（4S价格）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02" type="#_x0000_t75" style="width:55.25pt;height:18.4pt" o:ole="">
                  <v:imagedata r:id="rId13" o:title=""/>
                </v:shape>
                <w:control r:id="rId59" w:name="DefaultOcxName33" w:shapeid="_x0000_i1202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05" type="#_x0000_t75" style="width:1in;height:18.4pt" o:ole="">
                  <v:imagedata r:id="rId60" o:title=""/>
                </v:shape>
                <w:control r:id="rId61" w:name="DefaultOcxName34" w:shapeid="_x0000_i1205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价格方案为综合修理厂方案的，各单个点选配</w:t>
            </w:r>
            <w:proofErr w:type="gramStart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件金额</w:t>
            </w:r>
            <w:proofErr w:type="gramEnd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不高于系统价格（4S价格）的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08" type="#_x0000_t75" style="width:1in;height:18.4pt" o:ole="">
                  <v:imagedata r:id="rId62" o:title=""/>
                </v:shape>
                <w:control r:id="rId63" w:name="DefaultOcxName35" w:shapeid="_x0000_i1208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%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11" type="#_x0000_t75" style="width:55.25pt;height:18.4pt" o:ole="">
                  <v:imagedata r:id="rId13" o:title=""/>
                </v:shape>
                <w:control r:id="rId64" w:name="DefaultOcxName36" w:shapeid="_x0000_i1211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14" type="#_x0000_t75" style="width:1in;height:18.4pt" o:ole="">
                  <v:imagedata r:id="rId65" o:title=""/>
                </v:shape>
                <w:control r:id="rId66" w:name="DefaultOcxName37" w:shapeid="_x0000_i1214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如单项配件系统无4S价格时，单个配件金额不能超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object w:dxaOrig="1440" w:dyaOrig="1440">
                <v:shape id="_x0000_i1217" type="#_x0000_t75" style="width:1in;height:18.4pt" o:ole="">
                  <v:imagedata r:id="rId52" o:title=""/>
                </v:shape>
                <w:control r:id="rId67" w:name="DefaultOcxName38" w:shapeid="_x0000_i1217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元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object w:dxaOrig="1440" w:dyaOrig="1440">
                <v:shape id="_x0000_i1220" type="#_x0000_t75" style="width:55.25pt;height:18.4pt" o:ole="">
                  <v:imagedata r:id="rId13" o:title=""/>
                </v:shape>
                <w:control r:id="rId68" w:name="DefaultOcxName39" w:shapeid="_x0000_i1220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object w:dxaOrig="1440" w:dyaOrig="1440">
                <v:shape id="_x0000_i1223" type="#_x0000_t75" style="width:1in;height:18.4pt" o:ole="">
                  <v:imagedata r:id="rId69" o:title=""/>
                </v:shape>
                <w:control r:id="rId70" w:name="DefaultOcxName40" w:shapeid="_x0000_i1223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11、存在自定义工时项目的，每项自定义工时费用不可超过≤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26" type="#_x0000_t75" style="width:1in;height:18.4pt" o:ole="">
                  <v:imagedata r:id="rId11" o:title=""/>
                </v:shape>
                <w:control r:id="rId71" w:name="DefaultOcxName41" w:shapeid="_x0000_i1226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元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29" type="#_x0000_t75" style="width:55.25pt;height:18.4pt" o:ole="">
                  <v:imagedata r:id="rId13" o:title=""/>
                </v:shape>
                <w:control r:id="rId72" w:name="DefaultOcxName42" w:shapeid="_x0000_i1229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32" type="#_x0000_t75" style="width:1in;height:18.4pt" o:ole="">
                  <v:imagedata r:id="rId73" o:title=""/>
                </v:shape>
                <w:control r:id="rId74" w:name="DefaultOcxName43" w:shapeid="_x0000_i1232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12、存在点选工时项目的，每项点选工时费用不可超过系统参考工时费用的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35" type="#_x0000_t75" style="width:1in;height:18.4pt" o:ole="">
                  <v:imagedata r:id="rId75" o:title=""/>
                </v:shape>
                <w:control r:id="rId76" w:name="DefaultOcxName44" w:shapeid="_x0000_i1235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%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38" type="#_x0000_t75" style="width:55.25pt;height:18.4pt" o:ole="">
                  <v:imagedata r:id="rId23" o:title=""/>
                </v:shape>
                <w:control r:id="rId77" w:name="DefaultOcxName45" w:shapeid="_x0000_i1238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41" type="#_x0000_t75" style="width:1in;height:18.4pt" o:ole="">
                  <v:imagedata r:id="rId78" o:title=""/>
                </v:shape>
                <w:control r:id="rId79" w:name="DefaultOcxName46" w:shapeid="_x0000_i1241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13、核心系统中“车辆损失清单”中金额≤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44" type="#_x0000_t75" style="width:1in;height:18.4pt" o:ole="">
                  <v:imagedata r:id="rId52" o:title=""/>
                </v:shape>
                <w:control r:id="rId80" w:name="DefaultOcxName47" w:shapeid="_x0000_i1244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元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47" type="#_x0000_t75" style="width:55.25pt;height:18.4pt" o:ole="">
                  <v:imagedata r:id="rId13" o:title=""/>
                </v:shape>
                <w:control r:id="rId81" w:name="DefaultOcxName48" w:shapeid="_x0000_i1247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50" type="#_x0000_t75" style="width:1in;height:18.4pt" o:ole="">
                  <v:imagedata r:id="rId82" o:title=""/>
                </v:shape>
                <w:control r:id="rId83" w:name="DefaultOcxName49" w:shapeid="_x0000_i1250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14、定损提交工时费用总额不可超过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53" type="#_x0000_t75" style="width:1in;height:18.4pt" o:ole="">
                  <v:imagedata r:id="rId47" o:title=""/>
                </v:shape>
                <w:control r:id="rId84" w:name="DefaultOcxName50" w:shapeid="_x0000_i1253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元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56" type="#_x0000_t75" style="width:55.25pt;height:18.4pt" o:ole="">
                  <v:imagedata r:id="rId13" o:title=""/>
                </v:shape>
                <w:control r:id="rId85" w:name="DefaultOcxName51" w:shapeid="_x0000_i1256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59" type="#_x0000_t75" style="width:1in;height:18.4pt" o:ole="">
                  <v:imagedata r:id="rId86" o:title=""/>
                </v:shape>
                <w:control r:id="rId87" w:name="DefaultOcxName52" w:shapeid="_x0000_i1259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15、定损合计信息中“外修合计(不计入定损总金额)”≤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62" type="#_x0000_t75" style="width:1in;height:18.4pt" o:ole="">
                  <v:imagedata r:id="rId88" o:title=""/>
                </v:shape>
                <w:control r:id="rId89" w:name="DefaultOcxName53" w:shapeid="_x0000_i1262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元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65" type="#_x0000_t75" style="width:55.25pt;height:18.4pt" o:ole="">
                  <v:imagedata r:id="rId23" o:title=""/>
                </v:shape>
                <w:control r:id="rId90" w:name="DefaultOcxName54" w:shapeid="_x0000_i1265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68" type="#_x0000_t75" style="width:1in;height:18.4pt" o:ole="">
                  <v:imagedata r:id="rId91" o:title=""/>
                </v:shape>
                <w:control r:id="rId92" w:name="DefaultOcxName55" w:shapeid="_x0000_i1268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16、核心定损页面中，理赔费用≤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71" type="#_x0000_t75" style="width:1in;height:18.4pt" o:ole="">
                  <v:imagedata r:id="rId52" o:title=""/>
                </v:shape>
                <w:control r:id="rId93" w:name="DefaultOcxName56" w:shapeid="_x0000_i1271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元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74" type="#_x0000_t75" style="width:55.25pt;height:18.4pt" o:ole="">
                  <v:imagedata r:id="rId13" o:title=""/>
                </v:shape>
                <w:control r:id="rId94" w:name="DefaultOcxName57" w:shapeid="_x0000_i1274"/>
              </w:object>
            </w:r>
          </w:p>
        </w:tc>
      </w:tr>
      <w:tr w:rsidR="00806964" w:rsidRPr="00806964" w:rsidTr="00806964"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kern w:val="0"/>
                <w:sz w:val="18"/>
                <w:szCs w:val="18"/>
              </w:rPr>
              <w:t>四、点选录</w:t>
            </w:r>
            <w:proofErr w:type="gramStart"/>
            <w:r w:rsidRPr="00806964">
              <w:rPr>
                <w:rFonts w:ascii="宋体" w:eastAsia="宋体" w:hAnsi="宋体" w:cs="宋体"/>
                <w:kern w:val="0"/>
                <w:sz w:val="18"/>
                <w:szCs w:val="18"/>
              </w:rPr>
              <w:t>入规范</w:t>
            </w:r>
            <w:proofErr w:type="gramEnd"/>
            <w:r w:rsidRPr="00806964">
              <w:rPr>
                <w:rFonts w:ascii="宋体" w:eastAsia="宋体" w:hAnsi="宋体" w:cs="宋体"/>
                <w:kern w:val="0"/>
                <w:sz w:val="18"/>
                <w:szCs w:val="18"/>
              </w:rPr>
              <w:t>条件规则：</w: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77" type="#_x0000_t75" style="width:1in;height:18.4pt" o:ole="">
                  <v:imagedata r:id="rId95" o:title=""/>
                </v:shape>
                <w:control r:id="rId96" w:name="DefaultOcxName58" w:shapeid="_x0000_i1277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17、当存在配件或工时</w:t>
            </w:r>
            <w:proofErr w:type="gramStart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时</w:t>
            </w:r>
            <w:proofErr w:type="gramEnd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，车型使用VIN码定型，未使用VIN码定型的不允许自动核价通过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80" type="#_x0000_t75" style="width:55.25pt;height:18.4pt" o:ole="">
                  <v:imagedata r:id="rId23" o:title=""/>
                </v:shape>
                <w:control r:id="rId97" w:name="DefaultOcxName59" w:shapeid="_x0000_i1280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83" type="#_x0000_t75" style="width:1in;height:18.4pt" o:ole="">
                  <v:imagedata r:id="rId98" o:title=""/>
                </v:shape>
                <w:control r:id="rId99" w:name="DefaultOcxName60" w:shapeid="_x0000_i1283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18、新影像或旧影像存在相片文件数量不少于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86" type="#_x0000_t75" style="width:1in;height:18.4pt" o:ole="">
                  <v:imagedata r:id="rId100" o:title=""/>
                </v:shape>
                <w:control r:id="rId101" w:name="DefaultOcxName61" w:shapeid="_x0000_i1286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张（当提交</w:t>
            </w:r>
            <w:proofErr w:type="gramStart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定损总金额</w:t>
            </w:r>
            <w:proofErr w:type="gramEnd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为 </w: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89" type="#_x0000_t75" style="width:1in;height:18.4pt" o:ole="">
                  <v:imagedata r:id="rId102" o:title=""/>
                </v:shape>
                <w:control r:id="rId103" w:name="DefaultOcxName62" w:shapeid="_x0000_i1289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元时，不需检测此条）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92" type="#_x0000_t75" style="width:55.25pt;height:18.4pt" o:ole="">
                  <v:imagedata r:id="rId23" o:title=""/>
                </v:shape>
                <w:control r:id="rId104" w:name="DefaultOcxName63" w:shapeid="_x0000_i1292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95" type="#_x0000_t75" style="width:1in;height:18.4pt" o:ole="">
                  <v:imagedata r:id="rId105" o:title=""/>
                </v:shape>
                <w:control r:id="rId106" w:name="DefaultOcxName64" w:shapeid="_x0000_i1295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19、定损页面驾驶证件种类为居民身份证时，驾驶员证件号码与驾驶员身份证号码须符合检验（位数须为18位）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298" type="#_x0000_t75" style="width:55.25pt;height:18.4pt" o:ole="">
                  <v:imagedata r:id="rId23" o:title=""/>
                </v:shape>
                <w:control r:id="rId107" w:name="DefaultOcxName65" w:shapeid="_x0000_i1298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301" type="#_x0000_t75" style="width:1in;height:18.4pt" o:ole="">
                  <v:imagedata r:id="rId108" o:title=""/>
                </v:shape>
                <w:control r:id="rId109" w:name="DefaultOcxName66" w:shapeid="_x0000_i1301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20、报案信息出险原因为车体玻璃单独受损时，定</w:t>
            </w:r>
            <w:proofErr w:type="gramStart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损项目</w:t>
            </w:r>
            <w:proofErr w:type="gramEnd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险种</w:t>
            </w:r>
            <w:proofErr w:type="gramStart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点选须为</w:t>
            </w:r>
            <w:proofErr w:type="gramEnd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玻璃单独破碎险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304" type="#_x0000_t75" style="width:55.25pt;height:18.4pt" o:ole="">
                  <v:imagedata r:id="rId13" o:title=""/>
                </v:shape>
                <w:control r:id="rId110" w:name="DefaultOcxName67" w:shapeid="_x0000_i1304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307" type="#_x0000_t75" style="width:1in;height:18.4pt" o:ole="">
                  <v:imagedata r:id="rId111" o:title=""/>
                </v:shape>
                <w:control r:id="rId112" w:name="DefaultOcxName68" w:shapeid="_x0000_i1307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21、报案信息出险原因为车身划痕受损时，定</w:t>
            </w:r>
            <w:proofErr w:type="gramStart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损项目</w:t>
            </w:r>
            <w:proofErr w:type="gramEnd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险种</w:t>
            </w:r>
            <w:proofErr w:type="gramStart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点选须为</w:t>
            </w:r>
            <w:proofErr w:type="gramEnd"/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车身划痕险 </w:t>
            </w:r>
          </w:p>
        </w:tc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310" type="#_x0000_t75" style="width:55.25pt;height:18.4pt" o:ole="">
                  <v:imagedata r:id="rId13" o:title=""/>
                </v:shape>
                <w:control r:id="rId113" w:name="DefaultOcxName69" w:shapeid="_x0000_i1310"/>
              </w:object>
            </w:r>
          </w:p>
        </w:tc>
      </w:tr>
      <w:tr w:rsidR="00806964" w:rsidRPr="00806964" w:rsidTr="00806964">
        <w:trPr>
          <w:trHeight w:val="385"/>
        </w:trPr>
        <w:tc>
          <w:tcPr>
            <w:tcW w:w="2500" w:type="pct"/>
            <w:shd w:val="clear" w:color="auto" w:fill="FFF9F5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313" type="#_x0000_t75" style="width:1in;height:18.4pt" o:ole="">
                  <v:imagedata r:id="rId114" o:title=""/>
                </v:shape>
                <w:control r:id="rId115" w:name="DefaultOcxName70" w:shapeid="_x0000_i1313"/>
              </w:object>
            </w:r>
            <w:r w:rsidRPr="008069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22、车辆定损备注不得为空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806964" w:rsidRPr="00806964" w:rsidRDefault="00806964" w:rsidP="008069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8255D" w:rsidRDefault="0018255D" w:rsidP="0018255D">
      <w:pPr>
        <w:rPr>
          <w:rFonts w:hint="eastAsia"/>
        </w:rPr>
      </w:pPr>
    </w:p>
    <w:p w:rsidR="0018255D" w:rsidRDefault="0018255D" w:rsidP="0018255D">
      <w:pPr>
        <w:rPr>
          <w:rFonts w:hint="eastAsia"/>
        </w:rPr>
      </w:pPr>
    </w:p>
    <w:p w:rsidR="0018255D" w:rsidRDefault="0018255D" w:rsidP="0018255D">
      <w:pPr>
        <w:rPr>
          <w:rFonts w:hint="eastAsia"/>
        </w:rPr>
      </w:pPr>
    </w:p>
    <w:p w:rsidR="0018255D" w:rsidRDefault="0018255D" w:rsidP="0018255D">
      <w:pPr>
        <w:rPr>
          <w:rFonts w:hint="eastAsia"/>
        </w:rPr>
      </w:pPr>
    </w:p>
    <w:p w:rsidR="0018255D" w:rsidRDefault="0018255D" w:rsidP="0018255D">
      <w:pPr>
        <w:rPr>
          <w:rFonts w:hint="eastAsia"/>
        </w:rPr>
      </w:pPr>
    </w:p>
    <w:p w:rsidR="0018255D" w:rsidRDefault="0018255D" w:rsidP="0018255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一、自核总金额及人员条件规则：</w:t>
      </w:r>
      <w:r>
        <w:rPr>
          <w:rFonts w:hint="eastAsia"/>
        </w:rPr>
        <w:t xml:space="preserve">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01</w:t>
      </w:r>
      <w:r>
        <w:rPr>
          <w:rFonts w:hint="eastAsia"/>
        </w:rPr>
        <w:t>、</w:t>
      </w:r>
      <w:proofErr w:type="gramStart"/>
      <w:r>
        <w:rPr>
          <w:rFonts w:hint="eastAsia"/>
        </w:rPr>
        <w:t>纯车损定损金额</w:t>
      </w:r>
      <w:proofErr w:type="gramEnd"/>
      <w:r>
        <w:rPr>
          <w:rFonts w:hint="eastAsia"/>
        </w:rPr>
        <w:t>≤</w:t>
      </w:r>
      <w:r>
        <w:rPr>
          <w:rFonts w:hint="eastAsia"/>
        </w:rPr>
        <w:t xml:space="preserve">  </w:t>
      </w:r>
      <w:r>
        <w:rPr>
          <w:rFonts w:hint="eastAsia"/>
        </w:rPr>
        <w:t>元，或</w:t>
      </w:r>
      <w:proofErr w:type="gramStart"/>
      <w:r>
        <w:rPr>
          <w:rFonts w:hint="eastAsia"/>
        </w:rPr>
        <w:t>物损定损金额</w:t>
      </w:r>
      <w:proofErr w:type="gramEnd"/>
      <w:r>
        <w:rPr>
          <w:rFonts w:hint="eastAsia"/>
        </w:rPr>
        <w:t>≤</w:t>
      </w:r>
      <w:r>
        <w:rPr>
          <w:rFonts w:hint="eastAsia"/>
        </w:rPr>
        <w:t xml:space="preserve">  </w:t>
      </w:r>
      <w:r>
        <w:rPr>
          <w:rFonts w:hint="eastAsia"/>
        </w:rPr>
        <w:t>元</w:t>
      </w:r>
      <w:r>
        <w:rPr>
          <w:rFonts w:hint="eastAsia"/>
        </w:rPr>
        <w:t xml:space="preserve">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02</w:t>
      </w:r>
      <w:r>
        <w:rPr>
          <w:rFonts w:hint="eastAsia"/>
        </w:rPr>
        <w:t>、查勘定损人员是否配置核损权限</w:t>
      </w:r>
      <w:r>
        <w:rPr>
          <w:rFonts w:hint="eastAsia"/>
        </w:rPr>
        <w:t xml:space="preserve">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>二、欺诈风险规则：</w:t>
      </w:r>
      <w:r>
        <w:rPr>
          <w:rFonts w:hint="eastAsia"/>
        </w:rPr>
        <w:t xml:space="preserve">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03</w:t>
      </w:r>
      <w:r>
        <w:rPr>
          <w:rFonts w:hint="eastAsia"/>
        </w:rPr>
        <w:t>、</w:t>
      </w:r>
      <w:proofErr w:type="gramStart"/>
      <w:r>
        <w:rPr>
          <w:rFonts w:hint="eastAsia"/>
        </w:rPr>
        <w:t>定损非第一次</w:t>
      </w:r>
      <w:proofErr w:type="gramEnd"/>
      <w:r>
        <w:rPr>
          <w:rFonts w:hint="eastAsia"/>
        </w:rPr>
        <w:t>提交的，</w:t>
      </w:r>
      <w:proofErr w:type="gramStart"/>
      <w:r>
        <w:rPr>
          <w:rFonts w:hint="eastAsia"/>
        </w:rPr>
        <w:t>禁止自</w:t>
      </w:r>
      <w:proofErr w:type="gramEnd"/>
      <w:r>
        <w:rPr>
          <w:rFonts w:hint="eastAsia"/>
        </w:rPr>
        <w:t>核损</w:t>
      </w:r>
      <w:r>
        <w:rPr>
          <w:rFonts w:hint="eastAsia"/>
        </w:rPr>
        <w:t xml:space="preserve"> 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04</w:t>
      </w:r>
      <w:r>
        <w:rPr>
          <w:rFonts w:hint="eastAsia"/>
        </w:rPr>
        <w:t>、不存在同一驾驶员驾驶不同车辆在我司多次出险</w:t>
      </w:r>
      <w:r>
        <w:rPr>
          <w:rFonts w:hint="eastAsia"/>
        </w:rPr>
        <w:t xml:space="preserve"> 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05</w:t>
      </w:r>
      <w:r>
        <w:rPr>
          <w:rFonts w:hint="eastAsia"/>
        </w:rPr>
        <w:t>、出险时间不在承保起期</w:t>
      </w:r>
      <w:r>
        <w:rPr>
          <w:rFonts w:hint="eastAsia"/>
        </w:rPr>
        <w:t xml:space="preserve">  </w:t>
      </w:r>
      <w:r>
        <w:rPr>
          <w:rFonts w:hint="eastAsia"/>
        </w:rPr>
        <w:t>天或到期</w:t>
      </w:r>
      <w:r>
        <w:rPr>
          <w:rFonts w:hint="eastAsia"/>
        </w:rPr>
        <w:t xml:space="preserve">  </w:t>
      </w:r>
      <w:r>
        <w:rPr>
          <w:rFonts w:hint="eastAsia"/>
        </w:rPr>
        <w:t>天内</w:t>
      </w:r>
      <w:r>
        <w:rPr>
          <w:rFonts w:hint="eastAsia"/>
        </w:rPr>
        <w:t xml:space="preserve">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06</w:t>
      </w:r>
      <w:r>
        <w:rPr>
          <w:rFonts w:hint="eastAsia"/>
        </w:rPr>
        <w:t>、一个保单年度内出险记录≤</w:t>
      </w:r>
      <w:r>
        <w:rPr>
          <w:rFonts w:hint="eastAsia"/>
        </w:rPr>
        <w:t xml:space="preserve">  </w:t>
      </w:r>
      <w:r>
        <w:rPr>
          <w:rFonts w:hint="eastAsia"/>
        </w:rPr>
        <w:t>次</w:t>
      </w:r>
      <w:r>
        <w:rPr>
          <w:rFonts w:hint="eastAsia"/>
        </w:rPr>
        <w:t xml:space="preserve"> 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07</w:t>
      </w:r>
      <w:r>
        <w:rPr>
          <w:rFonts w:hint="eastAsia"/>
        </w:rPr>
        <w:t>、当定</w:t>
      </w:r>
      <w:proofErr w:type="gramStart"/>
      <w:r>
        <w:rPr>
          <w:rFonts w:hint="eastAsia"/>
        </w:rPr>
        <w:t>损</w:t>
      </w:r>
      <w:proofErr w:type="gramEnd"/>
      <w:r>
        <w:rPr>
          <w:rFonts w:hint="eastAsia"/>
        </w:rPr>
        <w:t>提交总金额≥</w:t>
      </w:r>
      <w:r>
        <w:rPr>
          <w:rFonts w:hint="eastAsia"/>
        </w:rPr>
        <w:t xml:space="preserve">  </w:t>
      </w:r>
      <w:r>
        <w:rPr>
          <w:rFonts w:hint="eastAsia"/>
        </w:rPr>
        <w:t>元时，则反欺诈评分须≤</w:t>
      </w:r>
      <w:r>
        <w:rPr>
          <w:rFonts w:hint="eastAsia"/>
        </w:rPr>
        <w:t xml:space="preserve">  </w:t>
      </w:r>
      <w:r>
        <w:rPr>
          <w:rFonts w:hint="eastAsia"/>
        </w:rPr>
        <w:t>分</w:t>
      </w:r>
      <w:r>
        <w:rPr>
          <w:rFonts w:hint="eastAsia"/>
        </w:rPr>
        <w:t xml:space="preserve">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>三、配件、工时条件规则：</w:t>
      </w:r>
      <w:r>
        <w:rPr>
          <w:rFonts w:hint="eastAsia"/>
        </w:rPr>
        <w:t xml:space="preserve">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08</w:t>
      </w:r>
      <w:r>
        <w:rPr>
          <w:rFonts w:hint="eastAsia"/>
        </w:rPr>
        <w:t>、存在点选配件的单个点选配件不超</w:t>
      </w:r>
      <w:r>
        <w:rPr>
          <w:rFonts w:hint="eastAsia"/>
        </w:rPr>
        <w:t xml:space="preserve">  </w:t>
      </w:r>
      <w:r>
        <w:rPr>
          <w:rFonts w:hint="eastAsia"/>
        </w:rPr>
        <w:t>元，点选配件总额不超</w:t>
      </w:r>
      <w:r>
        <w:rPr>
          <w:rFonts w:hint="eastAsia"/>
        </w:rPr>
        <w:t xml:space="preserve">  </w:t>
      </w:r>
      <w:r>
        <w:rPr>
          <w:rFonts w:hint="eastAsia"/>
        </w:rPr>
        <w:t>元</w:t>
      </w:r>
      <w:r>
        <w:rPr>
          <w:rFonts w:hint="eastAsia"/>
        </w:rPr>
        <w:t xml:space="preserve"> 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09</w:t>
      </w:r>
      <w:r>
        <w:rPr>
          <w:rFonts w:hint="eastAsia"/>
        </w:rPr>
        <w:t>、存在自定义配件的单个自定义配件不超</w:t>
      </w:r>
      <w:r>
        <w:rPr>
          <w:rFonts w:hint="eastAsia"/>
        </w:rPr>
        <w:t xml:space="preserve">  </w:t>
      </w:r>
      <w:r>
        <w:rPr>
          <w:rFonts w:hint="eastAsia"/>
        </w:rPr>
        <w:t>元，自定义配件总额不超</w:t>
      </w:r>
      <w:r>
        <w:rPr>
          <w:rFonts w:hint="eastAsia"/>
        </w:rPr>
        <w:t xml:space="preserve">  </w:t>
      </w:r>
      <w:r>
        <w:rPr>
          <w:rFonts w:hint="eastAsia"/>
        </w:rPr>
        <w:t>元</w:t>
      </w:r>
      <w:r>
        <w:rPr>
          <w:rFonts w:hint="eastAsia"/>
        </w:rPr>
        <w:t xml:space="preserve"> 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10</w:t>
      </w:r>
      <w:r>
        <w:rPr>
          <w:rFonts w:hint="eastAsia"/>
        </w:rPr>
        <w:t>、价格方案为</w:t>
      </w:r>
      <w:r>
        <w:rPr>
          <w:rFonts w:hint="eastAsia"/>
        </w:rPr>
        <w:t>4S</w:t>
      </w:r>
      <w:r>
        <w:rPr>
          <w:rFonts w:hint="eastAsia"/>
        </w:rPr>
        <w:t>价格方案的，各单个点选配</w:t>
      </w:r>
      <w:proofErr w:type="gramStart"/>
      <w:r>
        <w:rPr>
          <w:rFonts w:hint="eastAsia"/>
        </w:rPr>
        <w:t>件金额</w:t>
      </w:r>
      <w:proofErr w:type="gramEnd"/>
      <w:r>
        <w:rPr>
          <w:rFonts w:hint="eastAsia"/>
        </w:rPr>
        <w:t>不高于系统价格（</w:t>
      </w:r>
      <w:r>
        <w:rPr>
          <w:rFonts w:hint="eastAsia"/>
        </w:rPr>
        <w:t>4S</w:t>
      </w:r>
      <w:r>
        <w:rPr>
          <w:rFonts w:hint="eastAsia"/>
        </w:rPr>
        <w:t>价格）</w:t>
      </w:r>
      <w:r>
        <w:rPr>
          <w:rFonts w:hint="eastAsia"/>
        </w:rPr>
        <w:t xml:space="preserve"> 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价格方案为综合修理厂方案的，各单个点选配</w:t>
      </w:r>
      <w:proofErr w:type="gramStart"/>
      <w:r>
        <w:rPr>
          <w:rFonts w:hint="eastAsia"/>
        </w:rPr>
        <w:t>件金额</w:t>
      </w:r>
      <w:proofErr w:type="gramEnd"/>
      <w:r>
        <w:rPr>
          <w:rFonts w:hint="eastAsia"/>
        </w:rPr>
        <w:t>不高于系统价格（</w:t>
      </w:r>
      <w:r>
        <w:rPr>
          <w:rFonts w:hint="eastAsia"/>
        </w:rPr>
        <w:t>4S</w:t>
      </w:r>
      <w:r>
        <w:rPr>
          <w:rFonts w:hint="eastAsia"/>
        </w:rPr>
        <w:t>价格）的</w:t>
      </w:r>
      <w:r>
        <w:rPr>
          <w:rFonts w:hint="eastAsia"/>
        </w:rPr>
        <w:t xml:space="preserve">  % 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如单项配件系统无</w:t>
      </w:r>
      <w:r>
        <w:rPr>
          <w:rFonts w:hint="eastAsia"/>
        </w:rPr>
        <w:t>4S</w:t>
      </w:r>
      <w:r>
        <w:rPr>
          <w:rFonts w:hint="eastAsia"/>
        </w:rPr>
        <w:t>价格时，单个配件金额不能超</w:t>
      </w:r>
      <w:r>
        <w:rPr>
          <w:rFonts w:hint="eastAsia"/>
        </w:rPr>
        <w:t xml:space="preserve">  </w:t>
      </w:r>
      <w:r>
        <w:rPr>
          <w:rFonts w:hint="eastAsia"/>
        </w:rPr>
        <w:t>元</w:t>
      </w:r>
      <w:r>
        <w:rPr>
          <w:rFonts w:hint="eastAsia"/>
        </w:rPr>
        <w:t xml:space="preserve"> 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11</w:t>
      </w:r>
      <w:r>
        <w:rPr>
          <w:rFonts w:hint="eastAsia"/>
        </w:rPr>
        <w:t>、存在自定义工时项目的，每项自定义工时费用不可超过≤</w:t>
      </w:r>
      <w:r>
        <w:rPr>
          <w:rFonts w:hint="eastAsia"/>
        </w:rPr>
        <w:t xml:space="preserve">  </w:t>
      </w:r>
      <w:r>
        <w:rPr>
          <w:rFonts w:hint="eastAsia"/>
        </w:rPr>
        <w:t>元</w:t>
      </w:r>
      <w:r>
        <w:rPr>
          <w:rFonts w:hint="eastAsia"/>
        </w:rPr>
        <w:t xml:space="preserve"> 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12</w:t>
      </w:r>
      <w:r>
        <w:rPr>
          <w:rFonts w:hint="eastAsia"/>
        </w:rPr>
        <w:t>、存在点选工时项目的，每项点选工时费用不可超过系统参考工时费用的</w:t>
      </w:r>
      <w:r>
        <w:rPr>
          <w:rFonts w:hint="eastAsia"/>
        </w:rPr>
        <w:t xml:space="preserve">  % 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13</w:t>
      </w:r>
      <w:r>
        <w:rPr>
          <w:rFonts w:hint="eastAsia"/>
        </w:rPr>
        <w:t>、核心系统中“车辆损失清单”中金额≤</w:t>
      </w:r>
      <w:r>
        <w:rPr>
          <w:rFonts w:hint="eastAsia"/>
        </w:rPr>
        <w:t xml:space="preserve">  </w:t>
      </w:r>
      <w:r>
        <w:rPr>
          <w:rFonts w:hint="eastAsia"/>
        </w:rPr>
        <w:t>元</w:t>
      </w:r>
      <w:r>
        <w:rPr>
          <w:rFonts w:hint="eastAsia"/>
        </w:rPr>
        <w:t xml:space="preserve"> 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14</w:t>
      </w:r>
      <w:r>
        <w:rPr>
          <w:rFonts w:hint="eastAsia"/>
        </w:rPr>
        <w:t>、定损提交工时费用总额不可超过</w:t>
      </w:r>
      <w:r>
        <w:rPr>
          <w:rFonts w:hint="eastAsia"/>
        </w:rPr>
        <w:t xml:space="preserve">  </w:t>
      </w:r>
      <w:r>
        <w:rPr>
          <w:rFonts w:hint="eastAsia"/>
        </w:rPr>
        <w:t>元</w:t>
      </w:r>
      <w:r>
        <w:rPr>
          <w:rFonts w:hint="eastAsia"/>
        </w:rPr>
        <w:t xml:space="preserve">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15</w:t>
      </w:r>
      <w:r>
        <w:rPr>
          <w:rFonts w:hint="eastAsia"/>
        </w:rPr>
        <w:t>、定损合计信息中“外修合计</w:t>
      </w:r>
      <w:r>
        <w:rPr>
          <w:rFonts w:hint="eastAsia"/>
        </w:rPr>
        <w:t>(</w:t>
      </w:r>
      <w:r>
        <w:rPr>
          <w:rFonts w:hint="eastAsia"/>
        </w:rPr>
        <w:t>不计入定损总金额</w:t>
      </w:r>
      <w:r>
        <w:rPr>
          <w:rFonts w:hint="eastAsia"/>
        </w:rPr>
        <w:t>)</w:t>
      </w:r>
      <w:r>
        <w:rPr>
          <w:rFonts w:hint="eastAsia"/>
        </w:rPr>
        <w:t>”≤</w:t>
      </w:r>
      <w:r>
        <w:rPr>
          <w:rFonts w:hint="eastAsia"/>
        </w:rPr>
        <w:t xml:space="preserve">  </w:t>
      </w:r>
      <w:r>
        <w:rPr>
          <w:rFonts w:hint="eastAsia"/>
        </w:rPr>
        <w:t>元</w:t>
      </w:r>
      <w:r>
        <w:rPr>
          <w:rFonts w:hint="eastAsia"/>
        </w:rPr>
        <w:t xml:space="preserve"> 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16</w:t>
      </w:r>
      <w:r>
        <w:rPr>
          <w:rFonts w:hint="eastAsia"/>
        </w:rPr>
        <w:t>、核心定损页面中，理赔费用≤</w:t>
      </w:r>
      <w:r>
        <w:rPr>
          <w:rFonts w:hint="eastAsia"/>
        </w:rPr>
        <w:t xml:space="preserve">  </w:t>
      </w:r>
      <w:r>
        <w:rPr>
          <w:rFonts w:hint="eastAsia"/>
        </w:rPr>
        <w:t>元</w:t>
      </w:r>
      <w:r>
        <w:rPr>
          <w:rFonts w:hint="eastAsia"/>
        </w:rPr>
        <w:t xml:space="preserve"> 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>四、点选录</w:t>
      </w:r>
      <w:proofErr w:type="gramStart"/>
      <w:r>
        <w:rPr>
          <w:rFonts w:hint="eastAsia"/>
        </w:rPr>
        <w:t>入规范</w:t>
      </w:r>
      <w:proofErr w:type="gramEnd"/>
      <w:r>
        <w:rPr>
          <w:rFonts w:hint="eastAsia"/>
        </w:rPr>
        <w:t>条件规则：</w:t>
      </w:r>
      <w:r>
        <w:rPr>
          <w:rFonts w:hint="eastAsia"/>
        </w:rPr>
        <w:t xml:space="preserve">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17</w:t>
      </w:r>
      <w:r>
        <w:rPr>
          <w:rFonts w:hint="eastAsia"/>
        </w:rPr>
        <w:t>、当存在配件或工时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，车型使用</w:t>
      </w:r>
      <w:r>
        <w:rPr>
          <w:rFonts w:hint="eastAsia"/>
        </w:rPr>
        <w:t>VIN</w:t>
      </w:r>
      <w:r>
        <w:rPr>
          <w:rFonts w:hint="eastAsia"/>
        </w:rPr>
        <w:t>码定型，未使用</w:t>
      </w:r>
      <w:r>
        <w:rPr>
          <w:rFonts w:hint="eastAsia"/>
        </w:rPr>
        <w:t>VIN</w:t>
      </w:r>
      <w:r>
        <w:rPr>
          <w:rFonts w:hint="eastAsia"/>
        </w:rPr>
        <w:t>码定型的不允许自动核价通过</w:t>
      </w:r>
      <w:r>
        <w:rPr>
          <w:rFonts w:hint="eastAsia"/>
        </w:rPr>
        <w:t xml:space="preserve"> 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18</w:t>
      </w:r>
      <w:r>
        <w:rPr>
          <w:rFonts w:hint="eastAsia"/>
        </w:rPr>
        <w:t>、新影像或旧影像存在相片文件数量不少于</w:t>
      </w:r>
      <w:r>
        <w:rPr>
          <w:rFonts w:hint="eastAsia"/>
        </w:rPr>
        <w:t xml:space="preserve">  </w:t>
      </w:r>
      <w:r>
        <w:rPr>
          <w:rFonts w:hint="eastAsia"/>
        </w:rPr>
        <w:t>张（当提交</w:t>
      </w:r>
      <w:proofErr w:type="gramStart"/>
      <w:r>
        <w:rPr>
          <w:rFonts w:hint="eastAsia"/>
        </w:rPr>
        <w:t>定损总金额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 </w:t>
      </w:r>
      <w:r>
        <w:rPr>
          <w:rFonts w:hint="eastAsia"/>
        </w:rPr>
        <w:t>元时，不需检测此条）</w:t>
      </w:r>
      <w:r>
        <w:rPr>
          <w:rFonts w:hint="eastAsia"/>
        </w:rPr>
        <w:t xml:space="preserve"> 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19</w:t>
      </w:r>
      <w:r>
        <w:rPr>
          <w:rFonts w:hint="eastAsia"/>
        </w:rPr>
        <w:t>、定损页面驾驶证件种类为居民身份证时，驾驶员证件号码与驾驶员身份证号码须符合检验（位数须为</w:t>
      </w:r>
      <w:r>
        <w:rPr>
          <w:rFonts w:hint="eastAsia"/>
        </w:rPr>
        <w:t>18</w:t>
      </w:r>
      <w:r>
        <w:rPr>
          <w:rFonts w:hint="eastAsia"/>
        </w:rPr>
        <w:t>位）</w:t>
      </w:r>
      <w:r>
        <w:rPr>
          <w:rFonts w:hint="eastAsia"/>
        </w:rPr>
        <w:t xml:space="preserve">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20</w:t>
      </w:r>
      <w:r>
        <w:rPr>
          <w:rFonts w:hint="eastAsia"/>
        </w:rPr>
        <w:t>、报案信息出险原因为车体玻璃单独受损时，定</w:t>
      </w:r>
      <w:proofErr w:type="gramStart"/>
      <w:r>
        <w:rPr>
          <w:rFonts w:hint="eastAsia"/>
        </w:rPr>
        <w:t>损项目</w:t>
      </w:r>
      <w:proofErr w:type="gramEnd"/>
      <w:r>
        <w:rPr>
          <w:rFonts w:hint="eastAsia"/>
        </w:rPr>
        <w:t>险种</w:t>
      </w:r>
      <w:proofErr w:type="gramStart"/>
      <w:r>
        <w:rPr>
          <w:rFonts w:hint="eastAsia"/>
        </w:rPr>
        <w:t>点选须为</w:t>
      </w:r>
      <w:proofErr w:type="gramEnd"/>
      <w:r>
        <w:rPr>
          <w:rFonts w:hint="eastAsia"/>
        </w:rPr>
        <w:t>玻璃单独破碎险</w:t>
      </w:r>
      <w:r>
        <w:rPr>
          <w:rFonts w:hint="eastAsia"/>
        </w:rPr>
        <w:t xml:space="preserve">    </w:t>
      </w:r>
    </w:p>
    <w:p w:rsidR="0018255D" w:rsidRDefault="0018255D" w:rsidP="0018255D">
      <w:pPr>
        <w:rPr>
          <w:rFonts w:hint="eastAsia"/>
        </w:rPr>
      </w:pPr>
      <w:r>
        <w:rPr>
          <w:rFonts w:hint="eastAsia"/>
        </w:rPr>
        <w:t xml:space="preserve"> 21</w:t>
      </w:r>
      <w:r>
        <w:rPr>
          <w:rFonts w:hint="eastAsia"/>
        </w:rPr>
        <w:t>、报案信息出险原因为车身划痕受损时，定</w:t>
      </w:r>
      <w:proofErr w:type="gramStart"/>
      <w:r>
        <w:rPr>
          <w:rFonts w:hint="eastAsia"/>
        </w:rPr>
        <w:t>损项目</w:t>
      </w:r>
      <w:proofErr w:type="gramEnd"/>
      <w:r>
        <w:rPr>
          <w:rFonts w:hint="eastAsia"/>
        </w:rPr>
        <w:t>险种</w:t>
      </w:r>
      <w:proofErr w:type="gramStart"/>
      <w:r>
        <w:rPr>
          <w:rFonts w:hint="eastAsia"/>
        </w:rPr>
        <w:t>点选须为</w:t>
      </w:r>
      <w:proofErr w:type="gramEnd"/>
      <w:r>
        <w:rPr>
          <w:rFonts w:hint="eastAsia"/>
        </w:rPr>
        <w:t>车身划痕险</w:t>
      </w:r>
      <w:r>
        <w:rPr>
          <w:rFonts w:hint="eastAsia"/>
        </w:rPr>
        <w:t xml:space="preserve">    </w:t>
      </w:r>
    </w:p>
    <w:p w:rsidR="00DF485B" w:rsidRPr="00806964" w:rsidRDefault="0018255D" w:rsidP="0018255D">
      <w:r>
        <w:rPr>
          <w:rFonts w:hint="eastAsia"/>
        </w:rPr>
        <w:t xml:space="preserve"> 22</w:t>
      </w:r>
      <w:r>
        <w:rPr>
          <w:rFonts w:hint="eastAsia"/>
        </w:rPr>
        <w:t>、车辆定损备注不得为空</w:t>
      </w:r>
      <w:r>
        <w:rPr>
          <w:rFonts w:hint="eastAsia"/>
        </w:rPr>
        <w:t xml:space="preserve">    </w:t>
      </w:r>
    </w:p>
    <w:sectPr w:rsidR="00DF485B" w:rsidRPr="00806964" w:rsidSect="00DF4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964" w:rsidRDefault="00806964" w:rsidP="00806964">
      <w:r>
        <w:separator/>
      </w:r>
    </w:p>
  </w:endnote>
  <w:endnote w:type="continuationSeparator" w:id="0">
    <w:p w:rsidR="00806964" w:rsidRDefault="00806964" w:rsidP="0080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964" w:rsidRDefault="00806964" w:rsidP="00806964">
      <w:r>
        <w:separator/>
      </w:r>
    </w:p>
  </w:footnote>
  <w:footnote w:type="continuationSeparator" w:id="0">
    <w:p w:rsidR="00806964" w:rsidRDefault="00806964" w:rsidP="008069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6964"/>
    <w:rsid w:val="0018255D"/>
    <w:rsid w:val="00806964"/>
    <w:rsid w:val="00D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9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9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5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117" Type="http://schemas.openxmlformats.org/officeDocument/2006/relationships/theme" Target="theme/theme1.xml"/><Relationship Id="rId21" Type="http://schemas.openxmlformats.org/officeDocument/2006/relationships/image" Target="media/image7.wmf"/><Relationship Id="rId42" Type="http://schemas.openxmlformats.org/officeDocument/2006/relationships/control" Target="activeX/activeX21.xml"/><Relationship Id="rId47" Type="http://schemas.openxmlformats.org/officeDocument/2006/relationships/image" Target="media/image18.wmf"/><Relationship Id="rId63" Type="http://schemas.openxmlformats.org/officeDocument/2006/relationships/control" Target="activeX/activeX33.xml"/><Relationship Id="rId68" Type="http://schemas.openxmlformats.org/officeDocument/2006/relationships/control" Target="activeX/activeX37.xml"/><Relationship Id="rId84" Type="http://schemas.openxmlformats.org/officeDocument/2006/relationships/control" Target="activeX/activeX48.xml"/><Relationship Id="rId89" Type="http://schemas.openxmlformats.org/officeDocument/2006/relationships/control" Target="activeX/activeX51.xml"/><Relationship Id="rId112" Type="http://schemas.openxmlformats.org/officeDocument/2006/relationships/control" Target="activeX/activeX66.xml"/><Relationship Id="rId16" Type="http://schemas.openxmlformats.org/officeDocument/2006/relationships/control" Target="activeX/activeX5.xml"/><Relationship Id="rId107" Type="http://schemas.openxmlformats.org/officeDocument/2006/relationships/control" Target="activeX/activeX63.xml"/><Relationship Id="rId11" Type="http://schemas.openxmlformats.org/officeDocument/2006/relationships/image" Target="media/image3.wmf"/><Relationship Id="rId24" Type="http://schemas.openxmlformats.org/officeDocument/2006/relationships/control" Target="activeX/activeX10.xml"/><Relationship Id="rId32" Type="http://schemas.openxmlformats.org/officeDocument/2006/relationships/control" Target="activeX/activeX15.xml"/><Relationship Id="rId37" Type="http://schemas.openxmlformats.org/officeDocument/2006/relationships/control" Target="activeX/activeX18.xml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control" Target="activeX/activeX27.xml"/><Relationship Id="rId58" Type="http://schemas.openxmlformats.org/officeDocument/2006/relationships/control" Target="activeX/activeX30.xml"/><Relationship Id="rId66" Type="http://schemas.openxmlformats.org/officeDocument/2006/relationships/control" Target="activeX/activeX35.xml"/><Relationship Id="rId74" Type="http://schemas.openxmlformats.org/officeDocument/2006/relationships/control" Target="activeX/activeX41.xml"/><Relationship Id="rId79" Type="http://schemas.openxmlformats.org/officeDocument/2006/relationships/control" Target="activeX/activeX44.xml"/><Relationship Id="rId87" Type="http://schemas.openxmlformats.org/officeDocument/2006/relationships/control" Target="activeX/activeX50.xml"/><Relationship Id="rId102" Type="http://schemas.openxmlformats.org/officeDocument/2006/relationships/image" Target="media/image37.wmf"/><Relationship Id="rId110" Type="http://schemas.openxmlformats.org/officeDocument/2006/relationships/control" Target="activeX/activeX65.xml"/><Relationship Id="rId115" Type="http://schemas.openxmlformats.org/officeDocument/2006/relationships/control" Target="activeX/activeX68.xml"/><Relationship Id="rId5" Type="http://schemas.openxmlformats.org/officeDocument/2006/relationships/footnotes" Target="footnotes.xml"/><Relationship Id="rId61" Type="http://schemas.openxmlformats.org/officeDocument/2006/relationships/control" Target="activeX/activeX32.xml"/><Relationship Id="rId82" Type="http://schemas.openxmlformats.org/officeDocument/2006/relationships/image" Target="media/image30.wmf"/><Relationship Id="rId90" Type="http://schemas.openxmlformats.org/officeDocument/2006/relationships/control" Target="activeX/activeX52.xml"/><Relationship Id="rId95" Type="http://schemas.openxmlformats.org/officeDocument/2006/relationships/image" Target="media/image34.wmf"/><Relationship Id="rId19" Type="http://schemas.openxmlformats.org/officeDocument/2006/relationships/control" Target="activeX/activeX7.xml"/><Relationship Id="rId14" Type="http://schemas.openxmlformats.org/officeDocument/2006/relationships/control" Target="activeX/activeX4.xml"/><Relationship Id="rId22" Type="http://schemas.openxmlformats.org/officeDocument/2006/relationships/control" Target="activeX/activeX9.xml"/><Relationship Id="rId27" Type="http://schemas.openxmlformats.org/officeDocument/2006/relationships/image" Target="media/image10.wmf"/><Relationship Id="rId30" Type="http://schemas.openxmlformats.org/officeDocument/2006/relationships/control" Target="activeX/activeX14.xml"/><Relationship Id="rId35" Type="http://schemas.openxmlformats.org/officeDocument/2006/relationships/control" Target="activeX/activeX17.xml"/><Relationship Id="rId43" Type="http://schemas.openxmlformats.org/officeDocument/2006/relationships/image" Target="media/image16.wmf"/><Relationship Id="rId48" Type="http://schemas.openxmlformats.org/officeDocument/2006/relationships/control" Target="activeX/activeX24.xml"/><Relationship Id="rId56" Type="http://schemas.openxmlformats.org/officeDocument/2006/relationships/control" Target="activeX/activeX29.xml"/><Relationship Id="rId64" Type="http://schemas.openxmlformats.org/officeDocument/2006/relationships/control" Target="activeX/activeX34.xml"/><Relationship Id="rId69" Type="http://schemas.openxmlformats.org/officeDocument/2006/relationships/image" Target="media/image26.wmf"/><Relationship Id="rId77" Type="http://schemas.openxmlformats.org/officeDocument/2006/relationships/control" Target="activeX/activeX43.xml"/><Relationship Id="rId100" Type="http://schemas.openxmlformats.org/officeDocument/2006/relationships/image" Target="media/image36.wmf"/><Relationship Id="rId105" Type="http://schemas.openxmlformats.org/officeDocument/2006/relationships/image" Target="media/image38.wmf"/><Relationship Id="rId113" Type="http://schemas.openxmlformats.org/officeDocument/2006/relationships/control" Target="activeX/activeX67.xml"/><Relationship Id="rId8" Type="http://schemas.openxmlformats.org/officeDocument/2006/relationships/control" Target="activeX/activeX1.xml"/><Relationship Id="rId51" Type="http://schemas.openxmlformats.org/officeDocument/2006/relationships/control" Target="activeX/activeX26.xml"/><Relationship Id="rId72" Type="http://schemas.openxmlformats.org/officeDocument/2006/relationships/control" Target="activeX/activeX40.xml"/><Relationship Id="rId80" Type="http://schemas.openxmlformats.org/officeDocument/2006/relationships/control" Target="activeX/activeX45.xml"/><Relationship Id="rId85" Type="http://schemas.openxmlformats.org/officeDocument/2006/relationships/control" Target="activeX/activeX49.xml"/><Relationship Id="rId93" Type="http://schemas.openxmlformats.org/officeDocument/2006/relationships/control" Target="activeX/activeX54.xml"/><Relationship Id="rId98" Type="http://schemas.openxmlformats.org/officeDocument/2006/relationships/image" Target="media/image35.wmf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control" Target="activeX/activeX23.xml"/><Relationship Id="rId59" Type="http://schemas.openxmlformats.org/officeDocument/2006/relationships/control" Target="activeX/activeX31.xml"/><Relationship Id="rId67" Type="http://schemas.openxmlformats.org/officeDocument/2006/relationships/control" Target="activeX/activeX36.xml"/><Relationship Id="rId103" Type="http://schemas.openxmlformats.org/officeDocument/2006/relationships/control" Target="activeX/activeX60.xml"/><Relationship Id="rId108" Type="http://schemas.openxmlformats.org/officeDocument/2006/relationships/image" Target="media/image39.wmf"/><Relationship Id="rId116" Type="http://schemas.openxmlformats.org/officeDocument/2006/relationships/fontTable" Target="fontTable.xml"/><Relationship Id="rId20" Type="http://schemas.openxmlformats.org/officeDocument/2006/relationships/control" Target="activeX/activeX8.xml"/><Relationship Id="rId41" Type="http://schemas.openxmlformats.org/officeDocument/2006/relationships/control" Target="activeX/activeX20.xml"/><Relationship Id="rId54" Type="http://schemas.openxmlformats.org/officeDocument/2006/relationships/image" Target="media/image21.wmf"/><Relationship Id="rId62" Type="http://schemas.openxmlformats.org/officeDocument/2006/relationships/image" Target="media/image24.wmf"/><Relationship Id="rId70" Type="http://schemas.openxmlformats.org/officeDocument/2006/relationships/control" Target="activeX/activeX38.xml"/><Relationship Id="rId75" Type="http://schemas.openxmlformats.org/officeDocument/2006/relationships/image" Target="media/image28.wmf"/><Relationship Id="rId83" Type="http://schemas.openxmlformats.org/officeDocument/2006/relationships/control" Target="activeX/activeX47.xml"/><Relationship Id="rId88" Type="http://schemas.openxmlformats.org/officeDocument/2006/relationships/image" Target="media/image32.wmf"/><Relationship Id="rId91" Type="http://schemas.openxmlformats.org/officeDocument/2006/relationships/image" Target="media/image33.wmf"/><Relationship Id="rId96" Type="http://schemas.openxmlformats.org/officeDocument/2006/relationships/control" Target="activeX/activeX56.xml"/><Relationship Id="rId111" Type="http://schemas.openxmlformats.org/officeDocument/2006/relationships/image" Target="media/image40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control" Target="activeX/activeX12.xml"/><Relationship Id="rId36" Type="http://schemas.openxmlformats.org/officeDocument/2006/relationships/image" Target="media/image13.wmf"/><Relationship Id="rId49" Type="http://schemas.openxmlformats.org/officeDocument/2006/relationships/control" Target="activeX/activeX25.xml"/><Relationship Id="rId57" Type="http://schemas.openxmlformats.org/officeDocument/2006/relationships/image" Target="media/image22.wmf"/><Relationship Id="rId106" Type="http://schemas.openxmlformats.org/officeDocument/2006/relationships/control" Target="activeX/activeX62.xml"/><Relationship Id="rId114" Type="http://schemas.openxmlformats.org/officeDocument/2006/relationships/image" Target="media/image41.wmf"/><Relationship Id="rId10" Type="http://schemas.openxmlformats.org/officeDocument/2006/relationships/control" Target="activeX/activeX2.xml"/><Relationship Id="rId31" Type="http://schemas.openxmlformats.org/officeDocument/2006/relationships/image" Target="media/image11.wmf"/><Relationship Id="rId44" Type="http://schemas.openxmlformats.org/officeDocument/2006/relationships/control" Target="activeX/activeX22.xml"/><Relationship Id="rId52" Type="http://schemas.openxmlformats.org/officeDocument/2006/relationships/image" Target="media/image20.wmf"/><Relationship Id="rId60" Type="http://schemas.openxmlformats.org/officeDocument/2006/relationships/image" Target="media/image23.wmf"/><Relationship Id="rId65" Type="http://schemas.openxmlformats.org/officeDocument/2006/relationships/image" Target="media/image25.wmf"/><Relationship Id="rId73" Type="http://schemas.openxmlformats.org/officeDocument/2006/relationships/image" Target="media/image27.wmf"/><Relationship Id="rId78" Type="http://schemas.openxmlformats.org/officeDocument/2006/relationships/image" Target="media/image29.wmf"/><Relationship Id="rId81" Type="http://schemas.openxmlformats.org/officeDocument/2006/relationships/control" Target="activeX/activeX46.xml"/><Relationship Id="rId86" Type="http://schemas.openxmlformats.org/officeDocument/2006/relationships/image" Target="media/image31.wmf"/><Relationship Id="rId94" Type="http://schemas.openxmlformats.org/officeDocument/2006/relationships/control" Target="activeX/activeX55.xml"/><Relationship Id="rId99" Type="http://schemas.openxmlformats.org/officeDocument/2006/relationships/control" Target="activeX/activeX58.xml"/><Relationship Id="rId101" Type="http://schemas.openxmlformats.org/officeDocument/2006/relationships/control" Target="activeX/activeX59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control" Target="activeX/activeX19.xml"/><Relationship Id="rId109" Type="http://schemas.openxmlformats.org/officeDocument/2006/relationships/control" Target="activeX/activeX64.xml"/><Relationship Id="rId34" Type="http://schemas.openxmlformats.org/officeDocument/2006/relationships/control" Target="activeX/activeX16.xml"/><Relationship Id="rId50" Type="http://schemas.openxmlformats.org/officeDocument/2006/relationships/image" Target="media/image19.wmf"/><Relationship Id="rId55" Type="http://schemas.openxmlformats.org/officeDocument/2006/relationships/control" Target="activeX/activeX28.xml"/><Relationship Id="rId76" Type="http://schemas.openxmlformats.org/officeDocument/2006/relationships/control" Target="activeX/activeX42.xml"/><Relationship Id="rId97" Type="http://schemas.openxmlformats.org/officeDocument/2006/relationships/control" Target="activeX/activeX57.xml"/><Relationship Id="rId10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control" Target="activeX/activeX39.xml"/><Relationship Id="rId92" Type="http://schemas.openxmlformats.org/officeDocument/2006/relationships/control" Target="activeX/activeX53.xml"/><Relationship Id="rId2" Type="http://schemas.microsoft.com/office/2007/relationships/stylesWithEffects" Target="stylesWithEffects.xml"/><Relationship Id="rId29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王凯盛---富德产险总公司理赔管理部（公估）</dc:creator>
  <cp:keywords/>
  <dc:description/>
  <cp:lastModifiedBy>hui.zhai</cp:lastModifiedBy>
  <cp:revision>3</cp:revision>
  <dcterms:created xsi:type="dcterms:W3CDTF">2020-05-20T01:57:00Z</dcterms:created>
  <dcterms:modified xsi:type="dcterms:W3CDTF">2020-06-04T03:27:00Z</dcterms:modified>
</cp:coreProperties>
</file>