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Microsoft YaHei"/>
          <w:b/>
          <w:color w:val="000000"/>
          <w:sz w:val="46"/>
        </w:rPr>
        <w:t>项目架构梳理报告</w:t>
      </w:r>
    </w:p>
    <w:p>
      <w:pPr>
        <w:spacing w:after="280"/>
      </w:pPr>
      <w:r>
        <w:rPr>
          <w:rFonts w:ascii="Calibri" w:hAnsi="Calibri" w:eastAsia="Microsoft YaHei"/>
          <w:color w:val="555F6D"/>
          <w:sz w:val="28"/>
        </w:rPr>
        <w:t>毕业论文智能评分系统（paper-grading-system）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2"/>
        </w:rPr>
        <w:t>检视对象：</w:t>
      </w:r>
      <w:r>
        <w:rPr>
          <w:rFonts w:ascii="Calibri" w:hAnsi="Calibri" w:eastAsia="Microsoft YaHei"/>
          <w:color w:val="111827"/>
          <w:sz w:val="22"/>
        </w:rPr>
        <w:t>/Users/derrick/Desktop/cdxProject/paper-grading-system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2"/>
        </w:rPr>
        <w:t>检视日期：</w:t>
      </w:r>
      <w:r>
        <w:rPr>
          <w:rFonts w:ascii="Calibri" w:hAnsi="Calibri" w:eastAsia="Microsoft YaHei"/>
          <w:color w:val="111827"/>
          <w:sz w:val="22"/>
        </w:rPr>
        <w:t>2026-06-02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2"/>
        </w:rPr>
        <w:t>文档目的：</w:t>
      </w:r>
      <w:r>
        <w:rPr>
          <w:rFonts w:ascii="Calibri" w:hAnsi="Calibri" w:eastAsia="Microsoft YaHei"/>
          <w:color w:val="111827"/>
          <w:sz w:val="22"/>
        </w:rPr>
        <w:t>梳理当前项目架构，并解释各架构选择背后的理由。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2"/>
        </w:rPr>
        <w:t>范围：</w:t>
      </w:r>
      <w:r>
        <w:rPr>
          <w:rFonts w:ascii="Calibri" w:hAnsi="Calibri" w:eastAsia="Microsoft YaHei"/>
          <w:color w:val="111827"/>
          <w:sz w:val="22"/>
        </w:rPr>
        <w:t>后端、前端、CLI、数据库迁移、评分引擎、LLM/表格适配器、评估与导出链路。</w:t>
      </w:r>
    </w:p>
    <w:p>
      <w:pPr>
        <w:pBdr>
          <w:bottom w:val="single" w:sz="8" w:space="8" w:color="2E74B5"/>
        </w:pBdr>
      </w:pPr>
    </w:p>
    <w:p>
      <w:pPr>
        <w:shd w:fill="F4F6F9"/>
        <w:spacing w:before="80" w:after="160" w:line="264" w:lineRule="auto"/>
        <w:ind w:left="173" w:right="173"/>
      </w:pPr>
      <w:r>
        <w:rPr>
          <w:rFonts w:ascii="Calibri" w:hAnsi="Calibri" w:eastAsia="Microsoft YaHei"/>
          <w:b/>
          <w:color w:val="1F4D78"/>
          <w:sz w:val="22"/>
        </w:rPr>
        <w:t xml:space="preserve">结论摘要 </w:t>
      </w:r>
      <w:r>
        <w:rPr>
          <w:rFonts w:ascii="Calibri" w:hAnsi="Calibri" w:eastAsia="Microsoft YaHei"/>
          <w:color w:val="111827"/>
          <w:sz w:val="22"/>
        </w:rPr>
        <w:t>当前项目采用“多入口、单内核、服务层复用、证据驱动评分、人工复核闭环”的架构。它优先解决论文评分最关键的可审计、可复核、可回放和可评估问题；同时有意识地把登录、异步队列、OCR、向量检索等复杂能力留到后续阶段。</w:t>
      </w:r>
    </w:p>
    <w:p>
      <w:pPr>
        <w:pStyle w:val="Heading1"/>
        <w:keepNext/>
      </w:pPr>
      <w:r>
        <w:t>1. 当前项目架构总览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11827"/>
          <w:sz w:val="22"/>
        </w:rPr>
        <w:t>系统围绕毕业论文评阅闭环组织代码：评分标准配置与导入、批次管理、论文上传与解析、证据召回、逐项评分、人工复核、报告/Excel/在线表格导出、QWK 评估。实现上不是把所有逻辑塞进 API 路由，而是让 Web、Streamlit、CLI 和评估脚本共享同一组 services。</w:t>
      </w:r>
    </w:p>
    <w:p>
      <w:pPr>
        <w:pStyle w:val="Heading2"/>
        <w:keepNext/>
      </w:pPr>
      <w:r>
        <w:t>1.1 逻辑架构</w:t>
      </w:r>
    </w:p>
    <w:p>
      <w:pPr>
        <w:shd w:fill="F4F6F9"/>
        <w:spacing w:after="160"/>
      </w:pPr>
      <w:r>
        <w:rPr>
          <w:rFonts w:ascii="Courier New" w:hAnsi="Courier New" w:eastAsia="Microsoft YaHei"/>
          <w:color w:val="111827"/>
          <w:sz w:val="18"/>
        </w:rPr>
        <w:t>用户入口</w:t>
        <w:br/>
        <w:t xml:space="preserve">  FastAPI 静态 Web 控制台 / 备用 Streamlit / pgs CLI</w:t>
        <w:br/>
        <w:t xml:space="preserve">        ↓</w:t>
        <w:br/>
        <w:t>入口层</w:t>
        <w:br/>
        <w:t xml:space="preserve">  FastAPI routes 或 Typer CLI commands</w:t>
        <w:br/>
        <w:t xml:space="preserve">        ↓</w:t>
        <w:br/>
        <w:t>领域服务层</w:t>
        <w:br/>
        <w:t xml:space="preserve">  rubric_import · papers.ingestion · document_parser · retrieval · scoring.engine · checkers · coherence · calibration</w:t>
        <w:br/>
        <w:t xml:space="preserve">        ↓</w:t>
        <w:br/>
        <w:t>适配器层</w:t>
        <w:br/>
        <w:t xml:space="preserve">  LLM adapters(mock/openai/openai-compatible) · spreadsheet writers · report/export builders</w:t>
        <w:br/>
        <w:t xml:space="preserve">        ↓</w:t>
        <w:br/>
        <w:t>持久化与文件层</w:t>
        <w:br/>
        <w:t xml:space="preserve">  PostgreSQL/SQLite + Alembic · storage/uploads|parsed|reports|exports · L0 LLM cache</w:t>
      </w:r>
    </w:p>
    <w:p>
      <w:pPr>
        <w:pStyle w:val="Heading2"/>
        <w:keepNext/>
      </w:pPr>
      <w:r>
        <w:t>1.2 技术栈与运行形态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层面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当前实现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说明</w:t>
            </w:r>
          </w:p>
        </w:tc>
        <w:trPr>
          <w:tblHeader/>
        </w:trPr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后端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FastAPI + SQLAlchemy 2.x + Alembic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API 路由轻量，业务逻辑集中在 services；迁移已到 0007。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数据库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PostgreSQL 为默认；CLI/冒烟可用 SQLite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生产偏向 PostgreSQL；CLI 本地零服务使用 SQLite + WAL。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文档处理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python-docx + PyMuPDF + openpyxl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支持 .docx、文本型 .pdf、Excel 规则导入和 Excel 导出。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前端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FastAPI 托管静态 Web；Streamlit 备用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正式 Web 覆盖核心闭环；Streamlit 保留为备份操作台。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命令行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Typer/Rich 的 pgs CLI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本地无需启动服务，也复用同一评分内核。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LLM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Mock、OpenAI Responses、OpenAI-compatible Chat</w:t>
            </w:r>
          </w:p>
        </w:tc>
        <w:tc>
          <w:tcPr>
            <w:tcW w:type="dxa" w:w="53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通过环境变量切换；支持失败回退、重试、调试日志和缓存。</w:t>
            </w:r>
          </w:p>
        </w:tc>
      </w:tr>
    </w:tbl>
    <w:p>
      <w:pPr>
        <w:pStyle w:val="Heading1"/>
        <w:keepNext/>
      </w:pPr>
      <w:r>
        <w:t>2. 模块分层与职责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00"/>
        <w:gridCol w:w="3100"/>
        <w:gridCol w:w="39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模块/路径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职责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架构理由</w:t>
            </w:r>
          </w:p>
        </w:tc>
        <w:trPr>
          <w:tblHeader/>
        </w:trPr>
      </w:tr>
      <w:t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backend/app/main.py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创建 FastAPI app、注册路由、挂载静态 Web、初始化 storage。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保持入口层薄，启动流程清晰；便于 API 与前端同服务部署。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backend/app/api/routes/*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rubrics、batches、papers、scoring、exports、system、calibration API。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路由只做参数、权限占位、错误转换和服务调用，避免业务散落。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backend/app/db/models.py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用户、评分标准、批次、论文、分块、评分运行、评分项、复核日志、校准锚点、写表日志。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把审计链路显式建模，支持复核、回放、导出和质量评估。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backend/app/services/rubric_import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解析 Excel 评分规则、Word 模板结构/批注、编译结构化扣分规则。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让评分规则来自教师可维护文件，而不是写死在程序中。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backend/app/services/document_parser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解析 docx/PDF、抽取封面元数据、章节、参考文献、结构检查、格式规格、文本分块。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为证据定位和格式核验建立统一中间表示。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backend/app/services/scoring/engine.py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评分编排、路由、LLM 调用、确定性检查、汇总、落库、复核重算。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核心流程集中管理，Web/CLI/eval 复用，降低行为漂移。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backend/app/services/checkers + coherence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结构、字数、图表、引文、篇章一致性、格式 findings 到扣分。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确定性优先，模型只处理代码不能稳定判断的语义问题。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backend/app/services/llm + cache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LLM 抽象、mock、真实适配器、重试、调试日志、缓存账本。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本地可测、真实可接、失败可降级、成本可控。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backend/app/services/calibration + eval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脱敏锚点、排名、漂移、QWK/MAE/回归基线。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把评分尺度和质量评估变成系统内的一等能力。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frontend/web 与 frontend/streamlit_app.py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正式 Web 控制台与备用 Streamlit。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正式产品入口与开发/备用入口并存，二者通过 API 使用同一后端。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backend/app/cli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pgs init/import/score/review/export/eval 等命令。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无服务、隐私友好、批处理友好，同时不复制评分逻辑。</w:t>
            </w:r>
          </w:p>
        </w:tc>
      </w:tr>
    </w:tbl>
    <w:p>
      <w:pPr>
        <w:pStyle w:val="Heading1"/>
        <w:keepNext/>
      </w:pPr>
      <w:r>
        <w:t>3. 核心业务链路</w:t>
      </w:r>
    </w:p>
    <w:p>
      <w:pPr>
        <w:pStyle w:val="Heading2"/>
        <w:keepNext/>
      </w:pPr>
      <w:r>
        <w:t>3.1 评分标准导入与发布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11827"/>
          <w:sz w:val="22"/>
        </w:rPr>
        <w:t>评分标准可以通过 API/前端直接创建，也可以从 Excel 规则和 Word 模板导入。导入路径会识别评分项、分值、证据提示、扣分规则、评分类型、适用章节、分档、维度；Word 模板会补充章节提示、默认格式和批注。导入结果先落为 draft，发布后作为批次绑定标准。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11827"/>
          <w:sz w:val="22"/>
        </w:rPr>
        <w:t>Excel 规则用于维护评分项和扣分文本，降低非研发人员维护标准的门槛。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11827"/>
          <w:sz w:val="22"/>
        </w:rPr>
        <w:t>Word 模板批注和默认格式被解析为结构化信息，让格式要求和扣分规则可进入运行时核验。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11827"/>
          <w:sz w:val="22"/>
        </w:rPr>
        <w:t>draft/published 版本状态避免已用于评分的标准被直接改写，保留评分可追溯性。</w:t>
      </w:r>
    </w:p>
    <w:p>
      <w:pPr>
        <w:pStyle w:val="Heading2"/>
        <w:keepNext/>
      </w:pPr>
      <w:r>
        <w:t>3.2 论文上传、解析与分块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11827"/>
          <w:sz w:val="22"/>
        </w:rPr>
        <w:t>上传路由将文件保存到 storage/uploads，随后调用 papers.ingestion.parse_and_store。解析器支持 .docx 和文本型 .pdf，抽取封面字段、章节、参考文献、正文和结构检查结果，并把解析 JSON 写入 storage/parsed，同时把 PaperChunk 写入数据库。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11827"/>
          <w:sz w:val="22"/>
        </w:rPr>
        <w:t>原始文件、解析 JSON、报告和导出文件放在 storage 下，避免把大文本和二进制文件塞进关系库。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11827"/>
          <w:sz w:val="22"/>
        </w:rPr>
        <w:t>分块默认按章节和长度切分，附带页码、段落 ID 和章节标题，后续评分证据可以定位回原文。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11827"/>
          <w:sz w:val="22"/>
        </w:rPr>
        <w:t>解析失败不抛弃记录，而是将 Paper 标记 failed 并保存 error_message，方便批量任务继续运行和人工排查。</w:t>
      </w:r>
    </w:p>
    <w:p>
      <w:pPr>
        <w:pStyle w:val="Heading2"/>
        <w:keepNext/>
      </w:pPr>
      <w:r>
        <w:t>3.3 证据驱动评分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11827"/>
          <w:sz w:val="22"/>
        </w:rPr>
        <w:t>评分入口 score_paper 被拆成 collect_scoring_inputs、compute_scoring、persist_scoring 三段。collect 阶段读取论文、评分标准、证据候选和锚点；compute 阶段不碰主库，执行 LLM/确定性检查；persist 阶段短事务写入 ScoringRun 与 ScoreItem。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300"/>
        <w:gridCol w:w="3900"/>
        <w:gridCol w:w="41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阶段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主要动作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这样设计的理由</w:t>
            </w:r>
          </w:p>
        </w:tc>
        <w:trPr>
          <w:tblHeader/>
        </w:trPr>
      </w:tr>
      <w:tr>
        <w:tc>
          <w:tcPr>
            <w:tcW w:type="dxa" w:w="1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collect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读取解析 JSON、评分项快照、候选 chunk、校准锚点、格式 findings。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一次性收集输入，避免 LLM 计算期间持有 DB 锁或 ORM 延迟加载失败。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compute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运行确定性检查、findings 扣分、hybrid 子项、LLM 逐项评分、证据门槛、汇总总分。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形成纯计算核心，CLI 无状态评分和评估链路可复用。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persist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写 ScoringRun、ScoreItem、token 用量、coherence/format findings，并更新论文状态。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短写事务降低并发冲突，保留完整审计记录。</w:t>
            </w:r>
          </w:p>
        </w:tc>
      </w:tr>
    </w:tbl>
    <w:p>
      <w:pPr>
        <w:pStyle w:val="Heading2"/>
        <w:keepNext/>
      </w:pPr>
      <w:r>
        <w:t>3.4 人工复核与导出闭环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11827"/>
          <w:sz w:val="22"/>
        </w:rPr>
        <w:t>评分后，系统根据证据充分性、置信度、总分边界、低分、解析质量等条件标记 need_manual_review。教师可以修改单项 final_score，也可以提交整体验收复核；每次改分都会写 ReviewLog 并重算总分。最终结果可以生成 HTML 报告、Excel 成绩表，或通过 Google Apps Script 写入在线表格。</w:t>
      </w:r>
    </w:p>
    <w:p>
      <w:pPr>
        <w:pStyle w:val="Heading1"/>
        <w:keepNext/>
      </w:pPr>
      <w:r>
        <w:t>4. 数据模型与审计链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900"/>
        <w:gridCol w:w="4000"/>
        <w:gridCol w:w="3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实体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关键字段/关系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作用</w:t>
            </w:r>
          </w:p>
        </w:tc>
        <w:trPr>
          <w:tblHeader/>
        </w:trPr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Rubric / RubricCriterion</w:t>
            </w:r>
          </w:p>
        </w:tc>
        <w:tc>
          <w:tcPr>
            <w:tcW w:type="dxa" w:w="4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name+version 唯一；criteria 级联；criterion_type、scoring_mode、dimension、deduction_rules_structured。</w:t>
            </w:r>
          </w:p>
        </w:tc>
        <w:tc>
          <w:tcPr>
            <w:tcW w:type="dxa" w:w="34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承载评分标准版本和运行时路由策略。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GradingBatch</w:t>
            </w:r>
          </w:p>
        </w:tc>
        <w:tc>
          <w:tcPr>
            <w:tcW w:type="dxa" w:w="4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绑定 rubric_id；包含 papers；记录学院、专业、年度、状态。</w:t>
            </w:r>
          </w:p>
        </w:tc>
        <w:tc>
          <w:tcPr>
            <w:tcW w:type="dxa" w:w="34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一次评分工作的业务容器。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Paper / PaperChunk</w:t>
            </w:r>
          </w:p>
        </w:tc>
        <w:tc>
          <w:tcPr>
            <w:tcW w:type="dxa" w:w="4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Paper 保存文件、元数据、解析路径、质量与状态；PaperChunk 保存章节、页码、段落 ID、文本。</w:t>
            </w:r>
          </w:p>
        </w:tc>
        <w:tc>
          <w:tcPr>
            <w:tcW w:type="dxa" w:w="34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连接原文、解析产物和证据候选。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ScoringRun / ScoreItem</w:t>
            </w:r>
          </w:p>
        </w:tc>
        <w:tc>
          <w:tcPr>
            <w:tcW w:type="dxa" w:w="4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Run 保存模型、token、总分、等级、findings；Item 保存单项分、证据、扣分、置信度、复核标记。</w:t>
            </w:r>
          </w:p>
        </w:tc>
        <w:tc>
          <w:tcPr>
            <w:tcW w:type="dxa" w:w="34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完整记录一次 AI 评分及其逐项依据。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ReviewLog</w:t>
            </w:r>
          </w:p>
        </w:tc>
        <w:tc>
          <w:tcPr>
            <w:tcW w:type="dxa" w:w="4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score_item_id 可空；before/after 分数；reason；reviewer_id。</w:t>
            </w:r>
          </w:p>
        </w:tc>
        <w:tc>
          <w:tcPr>
            <w:tcW w:type="dxa" w:w="34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记录单项改分和整体验收，满足复核追踪。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CalibrationAnchor</w:t>
            </w:r>
          </w:p>
        </w:tc>
        <w:tc>
          <w:tcPr>
            <w:tcW w:type="dxa" w:w="4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rubric_id、criterion_code、score、excerpt、rationale。</w:t>
            </w:r>
          </w:p>
        </w:tc>
        <w:tc>
          <w:tcPr>
            <w:tcW w:type="dxa" w:w="34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以脱敏范文 few-shot 统一模型宽严尺度。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SpreadsheetWriteLog</w:t>
            </w:r>
          </w:p>
        </w:tc>
        <w:tc>
          <w:tcPr>
            <w:tcW w:type="dxa" w:w="4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target_type、target_id、status、response、error_message。</w:t>
            </w:r>
          </w:p>
        </w:tc>
        <w:tc>
          <w:tcPr>
            <w:tcW w:type="dxa" w:w="34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记录 Excel/在线表格写入结果，方便重试与审计。</w:t>
            </w:r>
          </w:p>
        </w:tc>
      </w:tr>
    </w:tbl>
    <w:p>
      <w:pPr>
        <w:shd w:fill="F4F6F9"/>
        <w:spacing w:before="80" w:after="160" w:line="264" w:lineRule="auto"/>
        <w:ind w:left="173" w:right="173"/>
      </w:pPr>
      <w:r>
        <w:rPr>
          <w:rFonts w:ascii="Calibri" w:hAnsi="Calibri" w:eastAsia="Microsoft YaHei"/>
          <w:b/>
          <w:color w:val="1F4D78"/>
          <w:sz w:val="22"/>
        </w:rPr>
        <w:t xml:space="preserve">审计链核心 </w:t>
      </w:r>
      <w:r>
        <w:rPr>
          <w:rFonts w:ascii="Calibri" w:hAnsi="Calibri" w:eastAsia="Microsoft YaHei"/>
          <w:color w:val="111827"/>
          <w:sz w:val="22"/>
        </w:rPr>
        <w:t>系统没有只保存一个最终分，而是保留评分标准版本、模型信息、原文证据、扣分项、人工改分和导出记录。这正好对应论文评分场景中的复核、申诉、抽检和质量回归要求。</w:t>
      </w:r>
    </w:p>
    <w:p>
      <w:pPr>
        <w:pStyle w:val="Heading1"/>
        <w:keepNext/>
      </w:pPr>
      <w:r>
        <w:t>5. 评分逻辑架构</w:t>
      </w:r>
    </w:p>
    <w:p>
      <w:pPr>
        <w:pStyle w:val="Heading2"/>
        <w:keepNext/>
      </w:pPr>
      <w:r>
        <w:t>5.1 评分项路由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11827"/>
          <w:sz w:val="22"/>
        </w:rPr>
        <w:t>评分项运行时按 criterion_type、scoring_mode、dimension 和结构化扣分规则分流。其核心思想是：代码能稳定判断的不用 LLM；需要语义判断的才交给 LLM；所有扣分或选档都尽量结构化。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600"/>
        <w:gridCol w:w="2200"/>
        <w:gridCol w:w="2900"/>
        <w:gridCol w:w="26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路由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触发条件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执行方式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理由</w:t>
            </w:r>
          </w:p>
        </w:tc>
        <w:trPr>
          <w:tblHeader/>
        </w:trPr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findings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deterministic + dimension + deduction_rules_structured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篇章/格式 findings 按维度领取，并按结构化规则扣分。</w:t>
            </w:r>
          </w:p>
        </w:tc>
        <w:tc>
          <w:tcPr>
            <w:tcW w:type="dxa" w:w="26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只有用户授权的规则才自动扣，避免程序擅自扩大扣分范围。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deterministic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criterion_type=deterministic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结构、字数、图表、编号制引文等代码检查。</w:t>
            </w:r>
          </w:p>
        </w:tc>
        <w:tc>
          <w:tcPr>
            <w:tcW w:type="dxa" w:w="26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这些问题可验证、可复现，不需要模型判断。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hybrid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criterion_type=hybrid 且有 sub_checks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确定性子项与 LLM 子项分别评分后求和。</w:t>
            </w:r>
          </w:p>
        </w:tc>
        <w:tc>
          <w:tcPr>
            <w:tcW w:type="dxa" w:w="26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适合一个评分项中同时存在规则检查和语义判断。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chunks/LLM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默认语义评分项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章节/关键词召回证据，模型输出结构化 JSON，后端验证和汇总。</w:t>
            </w:r>
          </w:p>
        </w:tc>
        <w:tc>
          <w:tcPr>
            <w:tcW w:type="dxa" w:w="26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把模型限制在给定证据内，降低幻觉和泛化打高分风险。</w:t>
            </w:r>
          </w:p>
        </w:tc>
      </w:tr>
    </w:tbl>
    <w:p>
      <w:pPr>
        <w:pStyle w:val="Heading2"/>
        <w:keepNext/>
      </w:pPr>
      <w:r>
        <w:t>5.2 计分模式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900"/>
        <w:gridCol w:w="3800"/>
        <w:gridCol w:w="36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scoring_mode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当前行为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设计理由</w:t>
            </w:r>
          </w:p>
        </w:tc>
        <w:trPr>
          <w:tblHeader/>
        </w:trPr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deductive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模型或规则给出 deduction_items，后端按 max_score - Σpoints 核算。</w:t>
            </w:r>
          </w:p>
        </w:tc>
        <w:tc>
          <w:tcPr>
            <w:tcW w:type="dxa" w:w="36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把“扣几分”交给标准，计算交给程序，降低模型乱算总分风险。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banded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模型选择 rubric_levels 档位；缺失时按模型分就近吸附到档位。</w:t>
            </w:r>
          </w:p>
        </w:tc>
        <w:tc>
          <w:tcPr>
            <w:tcW w:type="dxa" w:w="36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适合论文评阅中常见的等级描述，输出稳定且便于教师理解。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llm_direct</w:t>
            </w:r>
          </w:p>
        </w:tc>
        <w:tc>
          <w:tcPr>
            <w:tcW w:type="dxa" w:w="3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模型给单项分；后端执行证据门槛、置信度和人工复核策略。</w:t>
            </w:r>
          </w:p>
        </w:tc>
        <w:tc>
          <w:tcPr>
            <w:tcW w:type="dxa" w:w="36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保留灵活语义评分能力，同时用系统规则兜底。</w:t>
            </w:r>
          </w:p>
        </w:tc>
      </w:tr>
    </w:tbl>
    <w:p>
      <w:pPr>
        <w:pStyle w:val="Heading2"/>
        <w:keepNext/>
      </w:pPr>
      <w:r>
        <w:t>5.3 安全与质量防线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11827"/>
          <w:sz w:val="22"/>
        </w:rPr>
        <w:t>证据引用校验：模型返回的 evidence.quote 必须逐字存在于候选 chunk；不通过则标记复核。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11827"/>
          <w:sz w:val="22"/>
        </w:rPr>
        <w:t>提示注入检测：论文正文被视为不可信数据，命中“忽略指令、给满分”等模式时只标记复核，不采纳指令。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11827"/>
          <w:sz w:val="22"/>
        </w:rPr>
        <w:t>证据门槛：证据不足或无有效引用时按 SCORING_INSUFFICIENT_EVIDENCE_CAP_RATIO 下调，并强制人工复核。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11827"/>
          <w:sz w:val="22"/>
        </w:rPr>
        <w:t>边界分复核：低于 60 或接近 60/70/80/90 边界时触发人工检查，减少临界误判。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11827"/>
          <w:sz w:val="22"/>
        </w:rPr>
        <w:t>Mock 与真实 LLM 分离：本地测试和 CI 可完全离线，真实环境用 env 切换 provider。</w:t>
      </w:r>
    </w:p>
    <w:p>
      <w:pPr>
        <w:pStyle w:val="Heading1"/>
        <w:keepNext/>
      </w:pPr>
      <w:r>
        <w:t>6. 架构选择理由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100"/>
        <w:gridCol w:w="3300"/>
        <w:gridCol w:w="39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选择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当前做法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选择理由</w:t>
            </w:r>
          </w:p>
        </w:tc>
        <w:trPr>
          <w:tblHeader/>
        </w:trPr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多入口、单内核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Web、Streamlit、CLI、评估脚本都调用 services，而不是各自实现评分流程。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论文评分流程复杂且变化频繁，单内核能减少行为漂移，尤其是 CLI、本地无状态评分和 Web 批量评分必须保持同一口径。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薄 API、厚服务层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routes 负责请求/响应，services 负责业务。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便于单测、CLI 复用和后续迁移到任务队列；也让 API 层不会成为不可维护的过程脚本。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显式版本化评分标准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Rubric 以 name+version 唯一，draft 可编辑，published/已评分标准需 clone。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评分标准一旦参与评分就成为审计依据，直接改写会破坏历史评分解释。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确定性优先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结构、字数、图表、编号制引文和格式 mismatch 用代码核验。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确定性问题更适合程序判断：成本低、可复现、可解释，不受模型波动影响。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证据召回后评分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每个评分项先定位 chunk，LLM 只能基于候选证据输出。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论文评分需要可追溯依据；没有证据的分数很难复核，也容易被模型常识或模板印象带偏。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collect/compute/persist 三段式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LLM 调用不持有数据库事务。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真实模型调用慢且易重试；拆分后可降低 SQLite 锁冲突，也为并发 CLI 和未来队列化铺路。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结构化输出与后端核算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模型输出 JSON，后端验证 schema、证据、扣分、总分、等级。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让模型负责判断，不负责最终账务；分数计算和等级规则由程序控制更稳。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人在回路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低置信度、证据不足、边界分、解析质量差、模型回退都进入人工复核。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系统定位是教师辅助评阅，不替代最终裁定；复核日志让人为调整可审计。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Mock/fallback/cache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默认 mock，真实 provider 失败可回退，真实请求可缓存。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降低本地开发门槛，避免网络/API 配置阻断主流程，并控制真实模型成本。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QWK 评估与回归基线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用教师真值计算 QWK、MAE、等级一致率和逐项 bias。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上线问题不是“能不能评分”，而是“打得准不准、改动后有没有退步”。</w:t>
            </w:r>
          </w:p>
        </w:tc>
      </w:tr>
    </w:tbl>
    <w:p>
      <w:pPr>
        <w:pStyle w:val="Heading1"/>
        <w:keepNext/>
      </w:pPr>
      <w:r>
        <w:t>7. 当前边界与后续演进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11827"/>
          <w:sz w:val="22"/>
        </w:rPr>
        <w:t>项目当前明显选择了核心闭环优先，而不是一开始就引入完整企业级平台能力。README 中也明确暂不实现登录、JWT、RBAC、Celery、OCR 和 pgvector。这个边界符合 MVP 阶段：先证明评分链路、复核链路和质量评估链路有效，再扩展基础设施。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900"/>
        <w:gridCol w:w="3500"/>
        <w:gridCol w:w="39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当前边界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影响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建议演进</w:t>
            </w:r>
          </w:p>
        </w:tc>
        <w:trPr>
          <w:tblHeader/>
        </w:trPr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无登录/JWT/RBAC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当前是本地单用户/dev-user 模式，不适合多学院多角色生产环境。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引入用户、角色、资源权限和审计视图；现有 User 模型可作为起点。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同步 API 评分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长时间 LLM 调用可能占用 HTTP 请求；批量真实评分容易受超时影响。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引入任务队列和后台 worker；现有 collect/compute/persist 已适合迁移。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关键词/章节召回，未使用向量库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低依赖、可解释，但对隐含语义证据召回能力有限。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在保留确定性章节召回的基础上增量引入 pgvector 或外部向量检索。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不支持扫描版 PDF OCR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扫描论文会解析失败。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接入 OCR 管线，并把 OCR 质量纳入 parse_quality 与复核规则。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格式核验以默认有效格式为主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可发现模板级字体/字号/行距不一致，但复杂段落级格式还不完整。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按章节/段落样式扩展 FormatSpec，并在报告中区分严重程度。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真实 LLM 依赖外部服务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网络、额度、地区访问和 429 会影响评分吞吐。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保留 fallback，同时增加队列限速、批量重试策略和成本看板。</w:t>
            </w:r>
          </w:p>
        </w:tc>
      </w:tr>
    </w:tbl>
    <w:p>
      <w:pPr>
        <w:pStyle w:val="Heading1"/>
        <w:keepNext/>
      </w:pPr>
      <w:r>
        <w:t>8. 代码检视来源索引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00"/>
        <w:gridCol w:w="6060"/>
      </w:tblGrid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来源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检视重点</w:t>
            </w:r>
          </w:p>
        </w:tc>
        <w:trPr>
          <w:tblHeader/>
        </w:trPr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README.md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系统目标、技术栈、启动方式、核心 API、CLI 与运维边界。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pyproject.toml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依赖与 pgs console script。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backend/app/main.py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FastAPI app、路由注册、静态 Web 挂载和生命周期初始化。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backend/app/db/models.py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核心实体、关系、审计字段和 JSON 扩展字段。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backend/app/api/routes/*.py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rubrics、batches、papers、scoring、exports、system、calibration 的 HTTP 边界。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backend/app/services/scoring/engine.py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评分三段式、路由、证据门槛、人工复核、批量评分。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backend/app/services/rubric_import/*.py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Excel/Word 导入、批注解析、格式规格、结构化扣分规则编译。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backend/app/services/document_parser/*.py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docx/PDF 解析、章节/元数据/参考文献抽取、分块和格式比对。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backend/app/services/checkers 与 coherence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确定性检查、篇章一致性、语义一致性和 findings 转扣分。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backend/app/services/llm 与 cache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Mock/真实模型适配、重试、调试日志、缓存。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backend/app/services/spreadsheet 与 report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Excel、在线表格写入和 HTML 报告。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backend/app/cli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本地 SQLite、无服务评分、复核、导出、评估命令。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backend/app/eval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QWK、MAE、等级一致率、逐项 bias、回归门禁。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frontend/web 与 frontend/streamlit_app.py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正式 Web 控制台和备用操作台。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alembic/versions</w:t>
            </w:r>
          </w:p>
        </w:tc>
        <w:tc>
          <w:tcPr>
            <w:tcW w:type="dxa" w:w="6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从核心模型到校准、格式 findings、维度化扣分规则的 schema 演进。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F6D"/>
        <w:sz w:val="18"/>
      </w:rPr>
      <w:t>Architecture Review | 2026-06-02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55F6D"/>
        <w:sz w:val="18"/>
      </w:rPr>
      <w:t>毕业论文智能评分系统 | 架构梳理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color w:val="11182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