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0"/>
      </w:pPr>
    </w:p>
    <w:p>
      <w:pPr>
        <w:spacing w:after="200" w:before="0" w:line="360"/>
        <w:jc w:val="center"/>
      </w:pPr>
      <w:r>
        <w:rPr>
          <w:rFonts w:ascii="Times New Roman" w:cs="Times New Roman" w:eastAsia="Times New Roman" w:hAnsi="Times New Roman"/>
          <w:b/>
          <w:bCs/>
          <w:color w:val="1B2A4A"/>
          <w:sz w:val="56"/>
          <w:szCs w:val="56"/>
        </w:rPr>
        <w:t xml:space="preserve">COUPON COIN</w:t>
      </w:r>
    </w:p>
    <w:p>
      <w:pPr>
        <w:spacing w:after="80" w:before="0" w:line="360"/>
        <w:jc w:val="center"/>
      </w:pPr>
      <w:r>
        <w:rPr>
          <w:rFonts w:ascii="Times New Roman" w:cs="Times New Roman" w:eastAsia="Times New Roman" w:hAnsi="Times New Roman"/>
          <w:color w:val="2E5090"/>
          <w:sz w:val="28"/>
          <w:szCs w:val="28"/>
        </w:rPr>
        <w:t xml:space="preserve">A Blockchain-Based Coupon Tokenisation Protocol</w:t>
      </w:r>
    </w:p>
    <w:p>
      <w:pPr>
        <w:spacing w:after="600" w:before="0" w:line="360"/>
        <w:jc w:val="center"/>
      </w:pPr>
      <w:r>
        <w:rPr>
          <w:rFonts w:ascii="Times New Roman" w:cs="Times New Roman" w:eastAsia="Times New Roman" w:hAnsi="Times New Roman"/>
          <w:color w:val="2E5090"/>
          <w:sz w:val="28"/>
          <w:szCs w:val="28"/>
        </w:rPr>
        <w:t xml:space="preserve">for Smart Locker Ecosystems</w:t>
      </w:r>
    </w:p>
    <w:p>
      <w:pPr>
        <w:pBdr>
          <w:bottom w:val="single" w:color="1B2A4A" w:sz="6" w:space="1"/>
        </w:pBdr>
        <w:spacing w:after="400"/>
        <w:jc w:val="center"/>
      </w:pPr>
    </w:p>
    <w:p>
      <w:pPr>
        <w:spacing w:after="60" w:before="0" w:line="360"/>
        <w:jc w:val="center"/>
      </w:pPr>
      <w:r>
        <w:rPr>
          <w:rFonts w:ascii="Times New Roman" w:cs="Times New Roman" w:eastAsia="Times New Roman" w:hAnsi="Times New Roman"/>
          <w:b/>
          <w:bCs/>
          <w:color w:val="666666"/>
          <w:sz w:val="26"/>
          <w:szCs w:val="26"/>
        </w:rPr>
        <w:t xml:space="preserve">WHITE PAPER</w:t>
      </w:r>
    </w:p>
    <w:p>
      <w:pPr>
        <w:spacing w:after="600" w:before="0" w:line="360"/>
        <w:jc w:val="center"/>
      </w:pPr>
      <w:r>
        <w:rPr>
          <w:rFonts w:ascii="Times New Roman" w:cs="Times New Roman" w:eastAsia="Times New Roman" w:hAnsi="Times New Roman"/>
          <w:color w:val="888888"/>
          <w:sz w:val="22"/>
          <w:szCs w:val="22"/>
        </w:rPr>
        <w:t xml:space="preserve">Version 1.0  |  April 2026</w:t>
      </w:r>
    </w:p>
    <w:p>
      <w:pPr>
        <w:spacing w:after="80" w:before="0" w:line="360"/>
        <w:jc w:val="center"/>
      </w:pPr>
      <w:r>
        <w:rPr>
          <w:rFonts w:ascii="Times New Roman" w:cs="Times New Roman" w:eastAsia="Times New Roman" w:hAnsi="Times New Roman"/>
          <w:b/>
          <w:bCs/>
          <w:sz w:val="26"/>
          <w:szCs w:val="26"/>
        </w:rPr>
        <w:t xml:space="preserve">Y Carry Limited</w:t>
      </w:r>
    </w:p>
    <w:p>
      <w:pPr>
        <w:spacing w:after="800" w:before="0" w:line="360"/>
        <w:jc w:val="center"/>
      </w:pPr>
      <w:r>
        <w:rPr>
          <w:rFonts w:ascii="Times New Roman" w:cs="Times New Roman" w:eastAsia="Times New Roman" w:hAnsi="Times New Roman"/>
          <w:i/>
          <w:iCs/>
          <w:sz w:val="24"/>
          <w:szCs w:val="24"/>
        </w:rPr>
        <w:t xml:space="preserve">Free Your Hands, Hold Your Love</w:t>
      </w:r>
    </w:p>
    <w:p>
      <w:pPr>
        <w:spacing w:after="180" w:before="0" w:line="360"/>
        <w:jc w:val="center"/>
      </w:pPr>
      <w:r>
        <w:rPr>
          <w:rFonts w:ascii="Times New Roman" w:cs="Times New Roman" w:eastAsia="Times New Roman" w:hAnsi="Times New Roman"/>
          <w:color w:val="999999"/>
          <w:sz w:val="18"/>
          <w:szCs w:val="18"/>
        </w:rPr>
        <w:t xml:space="preserve">CONFIDENTIAL  —  For informational purposes only. Does not constitute financial advice.</w:t>
      </w:r>
    </w:p>
    <w:p>
      <w:pPr>
        <w:sectPr>
          <w:pgSz w:w="12240" w:h="15840" w:orient="portrait"/>
          <w:pgMar w:top="1440" w:right="1440" w:bottom="1440" w:left="1440" w:header="708" w:footer="708" w:gutter="0"/>
          <w:pgNumType/>
          <w:docGrid w:linePitch="360"/>
        </w:sectPr>
      </w:pPr>
    </w:p>
    <w:p>
      <w:pPr>
        <w:pStyle w:val="Heading1"/>
        <w:spacing w:after="200" w:before="400"/>
      </w:pPr>
      <w:r>
        <w:rPr>
          <w:rFonts w:ascii="Times New Roman" w:cs="Times New Roman" w:eastAsia="Times New Roman" w:hAnsi="Times New Roman"/>
          <w:b/>
          <w:bCs/>
          <w:sz w:val="32"/>
          <w:szCs w:val="32"/>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Times New Roman" w:cs="Times New Roman" w:eastAsia="Times New Roman" w:hAnsi="Times New Roman"/>
          <w:b/>
          <w:bCs/>
          <w:sz w:val="32"/>
          <w:szCs w:val="32"/>
        </w:rPr>
        <w:t xml:space="preserve">Abstract</w:t>
      </w:r>
    </w:p>
    <w:p>
      <w:pPr>
        <w:spacing w:after="180" w:before="0" w:line="360"/>
        <w:jc w:val="both"/>
      </w:pPr>
      <w:r>
        <w:rPr>
          <w:rFonts w:ascii="Times New Roman" w:cs="Times New Roman" w:eastAsia="Times New Roman" w:hAnsi="Times New Roman"/>
          <w:sz w:val="24"/>
          <w:szCs w:val="24"/>
        </w:rPr>
        <w:t xml:space="preserve">This white paper presents Coupon Coin (CPC), a blockchain-based utility token designed to tokenise traditional coupon and loyalty mechanisms within the smart locker industry. By integrating distributed ledger technology with Internet of Things (IoT)-enabled physical storage infrastructure, Coupon Coin establishes a programmable incentive layer that bridges digital assets with tangible consumer services. The protocol addresses critical inefficiencies in conventional coupon systems—including low redemption rates (industry average below 3%), lack of interoperability, and susceptibility to fraud. Through a dual-token architecture deployed on the Solana blockchain, the ecosystem enables real-time reward distribution, cross-merchant coupon circulation, and verifiable on-chain transaction tracking.</w:t>
      </w:r>
    </w:p>
    <w:p>
      <w:r>
        <w:br w:type="page"/>
      </w:r>
    </w:p>
    <w:p>
      <w:pPr>
        <w:pStyle w:val="Heading1"/>
        <w:spacing w:after="200" w:before="400"/>
      </w:pPr>
      <w:r>
        <w:rPr>
          <w:rFonts w:ascii="Times New Roman" w:cs="Times New Roman" w:eastAsia="Times New Roman" w:hAnsi="Times New Roman"/>
          <w:b/>
          <w:bCs/>
          <w:sz w:val="32"/>
          <w:szCs w:val="32"/>
        </w:rPr>
        <w:t xml:space="preserve">1. Introduction</w:t>
      </w:r>
    </w:p>
    <w:p>
      <w:pPr>
        <w:pStyle w:val="Heading2"/>
        <w:spacing w:after="180" w:before="300"/>
      </w:pPr>
      <w:r>
        <w:rPr>
          <w:rFonts w:ascii="Times New Roman" w:cs="Times New Roman" w:eastAsia="Times New Roman" w:hAnsi="Times New Roman"/>
          <w:b/>
          <w:bCs/>
          <w:sz w:val="28"/>
          <w:szCs w:val="28"/>
        </w:rPr>
        <w:t xml:space="preserve">1.1 Background and Motivation</w:t>
      </w:r>
    </w:p>
    <w:p>
      <w:pPr>
        <w:spacing w:after="180" w:before="0" w:line="360"/>
        <w:jc w:val="both"/>
      </w:pPr>
      <w:r>
        <w:rPr>
          <w:rFonts w:ascii="Times New Roman" w:cs="Times New Roman" w:eastAsia="Times New Roman" w:hAnsi="Times New Roman"/>
          <w:sz w:val="24"/>
          <w:szCs w:val="24"/>
        </w:rPr>
        <w:t xml:space="preserve">The global coupon and loyalty programme market represents a multi-billion dollar industry, yet remains plagued by systemic inefficiencies. Industry data indicates that the average coupon redemption rate across traditional channels remains below 3%, resulting in significant value leakage for both issuers and consumers. Simultaneously, blockchain technology has demonstrated the viability of tokenised incentive mechanisms that offer superior transparency, programmability, and composability compared to centralised counterparts.</w:t>
      </w:r>
    </w:p>
    <w:p>
      <w:pPr>
        <w:spacing w:after="180" w:before="0" w:line="360"/>
        <w:jc w:val="both"/>
      </w:pPr>
      <w:r>
        <w:rPr>
          <w:rFonts w:ascii="Times New Roman" w:cs="Times New Roman" w:eastAsia="Times New Roman" w:hAnsi="Times New Roman"/>
          <w:sz w:val="24"/>
          <w:szCs w:val="24"/>
        </w:rPr>
        <w:t xml:space="preserve">The emergence of smart locker systems in urban environments presents a unique convergence point for digital asset integration with physical infrastructure. Y Carry Smart Lockers, deployed across Hong Kong (Science Park, Cheung Chau Bun Festival, sports stadiums) and expanding internationally (1,300+ lockers contracted in Indonesia, with Japan under negotiation), utilise proprietary NFC-based access protocols (Y-Protocol) and NB-IoT connectivity.</w:t>
      </w:r>
    </w:p>
    <w:p>
      <w:pPr>
        <w:pStyle w:val="Heading2"/>
        <w:spacing w:after="180" w:before="300"/>
      </w:pPr>
      <w:r>
        <w:rPr>
          <w:rFonts w:ascii="Times New Roman" w:cs="Times New Roman" w:eastAsia="Times New Roman" w:hAnsi="Times New Roman"/>
          <w:b/>
          <w:bCs/>
          <w:sz w:val="28"/>
          <w:szCs w:val="28"/>
        </w:rPr>
        <w:t xml:space="preserve">1.2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Stakeholder</w:t>
            </w:r>
          </w:p>
        </w:tc>
        <w:tc>
          <w:tcPr>
            <w:tcW w:type="dxa" w:w="378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Pain Point</w:t>
            </w:r>
          </w:p>
        </w:tc>
        <w:tc>
          <w:tcPr>
            <w:tcW w:type="dxa" w:w="378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Proposed Solution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Consumers</w:t>
            </w:r>
          </w:p>
        </w:tc>
        <w:tc>
          <w:tcPr>
            <w:tcW w:type="dxa" w:w="37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Coupons are fragmented, expire unredeemed, non-transferable</w:t>
            </w:r>
          </w:p>
        </w:tc>
        <w:tc>
          <w:tcPr>
            <w:tcW w:type="dxa" w:w="37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Unified wallet; tradeable on-chain tokens; no expiry</w:t>
            </w:r>
          </w:p>
        </w:tc>
      </w:tr>
      <w:tr>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Merchants</w:t>
            </w:r>
          </w:p>
        </w:tc>
        <w:tc>
          <w:tcPr>
            <w:tcW w:type="dxa" w:w="37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High acquisition costs; inability to track coupon ROI</w:t>
            </w:r>
          </w:p>
        </w:tc>
        <w:tc>
          <w:tcPr>
            <w:tcW w:type="dxa" w:w="37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Programmable marketing; on-chain analytics; precise targeting</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Locker Operators</w:t>
            </w:r>
          </w:p>
        </w:tc>
        <w:tc>
          <w:tcPr>
            <w:tcW w:type="dxa" w:w="37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Low user stickiness; single revenue stream</w:t>
            </w:r>
          </w:p>
        </w:tc>
        <w:tc>
          <w:tcPr>
            <w:tcW w:type="dxa" w:w="37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Multi-stream revenue; token-based loyalty; flywheel effects</w:t>
            </w:r>
          </w:p>
        </w:tc>
      </w:tr>
      <w:tr>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Investors</w:t>
            </w:r>
          </w:p>
        </w:tc>
        <w:tc>
          <w:tcPr>
            <w:tcW w:type="dxa" w:w="37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Opaque returns; no programmable reward mechanisms</w:t>
            </w:r>
          </w:p>
        </w:tc>
        <w:tc>
          <w:tcPr>
            <w:tcW w:type="dxa" w:w="37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On-chain dividends via Locker Token; transparent buyback</w:t>
            </w:r>
          </w:p>
        </w:tc>
      </w:tr>
    </w:tbl>
    <w:p>
      <w:pPr>
        <w:spacing w:after="200"/>
      </w:pPr>
    </w:p>
    <w:p>
      <w:pPr>
        <w:pStyle w:val="Heading2"/>
        <w:spacing w:after="180" w:before="300"/>
      </w:pPr>
      <w:r>
        <w:rPr>
          <w:rFonts w:ascii="Times New Roman" w:cs="Times New Roman" w:eastAsia="Times New Roman" w:hAnsi="Times New Roman"/>
          <w:b/>
          <w:bCs/>
          <w:sz w:val="28"/>
          <w:szCs w:val="28"/>
        </w:rPr>
        <w:t xml:space="preserve">1.3 Objectives</w:t>
      </w:r>
    </w:p>
    <w:p>
      <w:pPr>
        <w:pStyle w:val="ListParagraph"/>
        <w:numPr>
          <w:ilvl w:val="0"/>
          <w:numId w:val="2"/>
        </w:numPr>
        <w:spacing w:after="100" w:line="340"/>
      </w:pPr>
      <w:r>
        <w:rPr>
          <w:rFonts w:ascii="Times New Roman" w:cs="Times New Roman" w:eastAsia="Times New Roman" w:hAnsi="Times New Roman"/>
          <w:sz w:val="24"/>
          <w:szCs w:val="24"/>
        </w:rPr>
        <w:t xml:space="preserve">Design a utility token (CPC) with real-world consumption anchoring through smart locker usage</w:t>
      </w:r>
    </w:p>
    <w:p>
      <w:pPr>
        <w:pStyle w:val="ListParagraph"/>
        <w:numPr>
          <w:ilvl w:val="0"/>
          <w:numId w:val="2"/>
        </w:numPr>
        <w:spacing w:after="100" w:line="340"/>
      </w:pPr>
      <w:r>
        <w:rPr>
          <w:rFonts w:ascii="Times New Roman" w:cs="Times New Roman" w:eastAsia="Times New Roman" w:hAnsi="Times New Roman"/>
          <w:sz w:val="24"/>
          <w:szCs w:val="24"/>
        </w:rPr>
        <w:t xml:space="preserve">Establish a cross-merchant coupon ecosystem enabling seamless token circulation</w:t>
      </w:r>
    </w:p>
    <w:p>
      <w:pPr>
        <w:pStyle w:val="ListParagraph"/>
        <w:numPr>
          <w:ilvl w:val="0"/>
          <w:numId w:val="2"/>
        </w:numPr>
        <w:spacing w:after="100" w:line="340"/>
      </w:pPr>
      <w:r>
        <w:rPr>
          <w:rFonts w:ascii="Times New Roman" w:cs="Times New Roman" w:eastAsia="Times New Roman" w:hAnsi="Times New Roman"/>
          <w:sz w:val="24"/>
          <w:szCs w:val="24"/>
        </w:rPr>
        <w:t xml:space="preserve">Implement deflationary tokenomics to sustain long-term value</w:t>
      </w:r>
    </w:p>
    <w:p>
      <w:pPr>
        <w:pStyle w:val="ListParagraph"/>
        <w:numPr>
          <w:ilvl w:val="0"/>
          <w:numId w:val="2"/>
        </w:numPr>
        <w:spacing w:after="100" w:line="340"/>
      </w:pPr>
      <w:r>
        <w:rPr>
          <w:rFonts w:ascii="Times New Roman" w:cs="Times New Roman" w:eastAsia="Times New Roman" w:hAnsi="Times New Roman"/>
          <w:sz w:val="24"/>
          <w:szCs w:val="24"/>
        </w:rPr>
        <w:t xml:space="preserve">Create a dual-token model linking digital assets to physical infrastructure</w:t>
      </w:r>
    </w:p>
    <w:p>
      <w:pPr>
        <w:pStyle w:val="ListParagraph"/>
        <w:numPr>
          <w:ilvl w:val="0"/>
          <w:numId w:val="2"/>
        </w:numPr>
        <w:spacing w:after="100" w:line="340"/>
      </w:pPr>
      <w:r>
        <w:rPr>
          <w:rFonts w:ascii="Times New Roman" w:cs="Times New Roman" w:eastAsia="Times New Roman" w:hAnsi="Times New Roman"/>
          <w:sz w:val="24"/>
          <w:szCs w:val="24"/>
        </w:rPr>
        <w:t xml:space="preserve">Ensure regulatory compliance through a dual-track operational framework</w:t>
      </w:r>
    </w:p>
    <w:p>
      <w:r>
        <w:br w:type="page"/>
      </w:r>
    </w:p>
    <w:p>
      <w:pPr>
        <w:pStyle w:val="Heading1"/>
        <w:spacing w:after="200" w:before="400"/>
      </w:pPr>
      <w:r>
        <w:rPr>
          <w:rFonts w:ascii="Times New Roman" w:cs="Times New Roman" w:eastAsia="Times New Roman" w:hAnsi="Times New Roman"/>
          <w:b/>
          <w:bCs/>
          <w:sz w:val="32"/>
          <w:szCs w:val="32"/>
        </w:rPr>
        <w:t xml:space="preserve">2. Literature Review</w:t>
      </w:r>
    </w:p>
    <w:p>
      <w:pPr>
        <w:pStyle w:val="Heading2"/>
        <w:spacing w:after="180" w:before="300"/>
      </w:pPr>
      <w:r>
        <w:rPr>
          <w:rFonts w:ascii="Times New Roman" w:cs="Times New Roman" w:eastAsia="Times New Roman" w:hAnsi="Times New Roman"/>
          <w:b/>
          <w:bCs/>
          <w:sz w:val="28"/>
          <w:szCs w:val="28"/>
        </w:rPr>
        <w:t xml:space="preserve">2.1 Blockchain-Based Loyalty Systems</w:t>
      </w:r>
    </w:p>
    <w:p>
      <w:pPr>
        <w:spacing w:after="180" w:before="0" w:line="360"/>
        <w:jc w:val="both"/>
      </w:pPr>
      <w:r>
        <w:rPr>
          <w:rFonts w:ascii="Times New Roman" w:cs="Times New Roman" w:eastAsia="Times New Roman" w:hAnsi="Times New Roman"/>
          <w:sz w:val="24"/>
          <w:szCs w:val="24"/>
        </w:rPr>
        <w:t xml:space="preserve">Deloitte (2024) identifies five core benefits of blockchain in loyalty programmes: cost reduction through smart contract automation, frictionless cross-platform redemption, near real-time settlement, enhanced security via immutable transaction records, and novel business opportunities through interconnected loyalty networks. These findings directly inform the architectural decisions underlying Coupon Coin.</w:t>
      </w:r>
    </w:p>
    <w:p>
      <w:pPr>
        <w:pStyle w:val="Heading2"/>
        <w:spacing w:after="180" w:before="300"/>
      </w:pPr>
      <w:r>
        <w:rPr>
          <w:rFonts w:ascii="Times New Roman" w:cs="Times New Roman" w:eastAsia="Times New Roman" w:hAnsi="Times New Roman"/>
          <w:b/>
          <w:bCs/>
          <w:sz w:val="28"/>
          <w:szCs w:val="28"/>
        </w:rPr>
        <w:t xml:space="preserve">2.2 E-Coupon Tokenisation</w:t>
      </w:r>
    </w:p>
    <w:p>
      <w:pPr>
        <w:spacing w:after="180" w:before="0" w:line="360"/>
        <w:jc w:val="both"/>
      </w:pPr>
      <w:r>
        <w:rPr>
          <w:rFonts w:ascii="Times New Roman" w:cs="Times New Roman" w:eastAsia="Times New Roman" w:hAnsi="Times New Roman"/>
          <w:sz w:val="24"/>
          <w:szCs w:val="24"/>
        </w:rPr>
        <w:t xml:space="preserve">Research published in the Journal of King Saud University (2023) proposes Ecoupon-Chain, a decentralised e-coupon system leveraging smart contracts for automated rule enforcement, including gift triggers, discount conditions, and points allocation. The study demonstrates that blockchain-based coupons achieve higher redemption rates and reduced fraud compared to traditional systems.</w:t>
      </w:r>
    </w:p>
    <w:p>
      <w:pPr>
        <w:pStyle w:val="Heading2"/>
        <w:spacing w:after="180" w:before="300"/>
      </w:pPr>
      <w:r>
        <w:rPr>
          <w:rFonts w:ascii="Times New Roman" w:cs="Times New Roman" w:eastAsia="Times New Roman" w:hAnsi="Times New Roman"/>
          <w:b/>
          <w:bCs/>
          <w:sz w:val="28"/>
          <w:szCs w:val="28"/>
        </w:rPr>
        <w:t xml:space="preserve">2.3 Smart Locker Integration</w:t>
      </w:r>
    </w:p>
    <w:p>
      <w:pPr>
        <w:spacing w:after="180" w:before="0" w:line="360"/>
        <w:jc w:val="both"/>
      </w:pPr>
      <w:r>
        <w:rPr>
          <w:rFonts w:ascii="Times New Roman" w:cs="Times New Roman" w:eastAsia="Times New Roman" w:hAnsi="Times New Roman"/>
          <w:sz w:val="24"/>
          <w:szCs w:val="24"/>
        </w:rPr>
        <w:t xml:space="preserve">MDPI Symmetry (2021) analyses the optimal application of blockchain-based smart lockers in logistics, concluding that token-based access control and transaction recording significantly improve operational transparency. IEEE (2025) further demonstrates that combining smart contracts with parcel locker systems enhances trust and efficiency in e-commerce delivery.</w:t>
      </w:r>
    </w:p>
    <w:p>
      <w:r>
        <w:br w:type="page"/>
      </w:r>
    </w:p>
    <w:p>
      <w:pPr>
        <w:pStyle w:val="Heading1"/>
        <w:spacing w:after="200" w:before="400"/>
      </w:pPr>
      <w:r>
        <w:rPr>
          <w:rFonts w:ascii="Times New Roman" w:cs="Times New Roman" w:eastAsia="Times New Roman" w:hAnsi="Times New Roman"/>
          <w:b/>
          <w:bCs/>
          <w:sz w:val="32"/>
          <w:szCs w:val="32"/>
        </w:rPr>
        <w:t xml:space="preserve">3. Token Economics</w:t>
      </w:r>
    </w:p>
    <w:p>
      <w:pPr>
        <w:pStyle w:val="Heading2"/>
        <w:spacing w:after="180" w:before="300"/>
      </w:pPr>
      <w:r>
        <w:rPr>
          <w:rFonts w:ascii="Times New Roman" w:cs="Times New Roman" w:eastAsia="Times New Roman" w:hAnsi="Times New Roman"/>
          <w:b/>
          <w:bCs/>
          <w:sz w:val="28"/>
          <w:szCs w:val="28"/>
        </w:rPr>
        <w:t xml:space="preserve">3.1 Token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Parameter</w:t>
            </w:r>
          </w:p>
        </w:tc>
        <w:tc>
          <w:tcPr>
            <w:tcW w:type="dxa" w:w="586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Value</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Token Name</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Coupon Coin</w:t>
            </w:r>
          </w:p>
        </w:tc>
      </w:tr>
      <w:tr>
        <w:tc>
          <w:tcPr>
            <w:tcW w:type="dxa" w:w="35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Symbol</w:t>
            </w:r>
          </w:p>
        </w:tc>
        <w:tc>
          <w:tcPr>
            <w:tcW w:type="dxa" w:w="58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CPC</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Blockchain</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Solana (SPL Token)</w:t>
            </w:r>
          </w:p>
        </w:tc>
      </w:tr>
      <w:tr>
        <w:tc>
          <w:tcPr>
            <w:tcW w:type="dxa" w:w="35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Total Supply</w:t>
            </w:r>
          </w:p>
        </w:tc>
        <w:tc>
          <w:tcPr>
            <w:tcW w:type="dxa" w:w="58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200,000,000 CPC</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Decimals</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6</w:t>
            </w:r>
          </w:p>
        </w:tc>
      </w:tr>
      <w:tr>
        <w:tc>
          <w:tcPr>
            <w:tcW w:type="dxa" w:w="35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Initial Price</w:t>
            </w:r>
          </w:p>
        </w:tc>
        <w:tc>
          <w:tcPr>
            <w:tcW w:type="dxa" w:w="58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1 CPC = 0.10 USDT</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Market Cap at Launch</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20,000,000 USDT</w:t>
            </w:r>
          </w:p>
        </w:tc>
      </w:tr>
    </w:tbl>
    <w:p>
      <w:pPr>
        <w:spacing w:after="200"/>
      </w:pPr>
    </w:p>
    <w:p>
      <w:pPr>
        <w:pStyle w:val="Heading2"/>
        <w:spacing w:after="180" w:before="300"/>
      </w:pPr>
      <w:r>
        <w:rPr>
          <w:rFonts w:ascii="Times New Roman" w:cs="Times New Roman" w:eastAsia="Times New Roman" w:hAnsi="Times New Roman"/>
          <w:b/>
          <w:bCs/>
          <w:sz w:val="28"/>
          <w:szCs w:val="28"/>
        </w:rPr>
        <w:t xml:space="preserve">3.2 Token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700"/>
        <w:gridCol w:w="4360"/>
      </w:tblGrid>
      <w:tr>
        <w:tc>
          <w:tcPr>
            <w:tcW w:type="dxa" w:w="22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Allocation</w:t>
            </w:r>
          </w:p>
        </w:tc>
        <w:tc>
          <w:tcPr>
            <w:tcW w:type="dxa" w:w="11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Percentage</w:t>
            </w:r>
          </w:p>
        </w:tc>
        <w:tc>
          <w:tcPr>
            <w:tcW w:type="dxa" w:w="17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Amount</w:t>
            </w:r>
          </w:p>
        </w:tc>
        <w:tc>
          <w:tcPr>
            <w:tcW w:type="dxa" w:w="436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Vesting</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Public Fundraising</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20%</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40,000,000</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No lock-up</w:t>
            </w:r>
          </w:p>
        </w:tc>
      </w:tr>
      <w:tr>
        <w:tc>
          <w:tcPr>
            <w:tcW w:type="dxa" w:w="2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Team Rewards</w:t>
            </w:r>
          </w:p>
        </w:tc>
        <w:tc>
          <w:tcPr>
            <w:tcW w:type="dxa" w:w="11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15%</w:t>
            </w:r>
          </w:p>
        </w:tc>
        <w:tc>
          <w:tcPr>
            <w:tcW w:type="dxa" w:w="17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30,000,000</w:t>
            </w:r>
          </w:p>
        </w:tc>
        <w:tc>
          <w:tcPr>
            <w:tcW w:type="dxa" w:w="43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12-mo cliff + 24-mo linear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Financial Reserves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15%</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30,000,000</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Governance-controlled</w:t>
            </w:r>
          </w:p>
        </w:tc>
      </w:tr>
      <w:tr>
        <w:tc>
          <w:tcPr>
            <w:tcW w:type="dxa" w:w="2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Liquidity Provision</w:t>
            </w:r>
          </w:p>
        </w:tc>
        <w:tc>
          <w:tcPr>
            <w:tcW w:type="dxa" w:w="11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13%</w:t>
            </w:r>
          </w:p>
        </w:tc>
        <w:tc>
          <w:tcPr>
            <w:tcW w:type="dxa" w:w="17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26,000,000</w:t>
            </w:r>
          </w:p>
        </w:tc>
        <w:tc>
          <w:tcPr>
            <w:tcW w:type="dxa" w:w="43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LP locked 12 months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Staking Rewards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8%</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16,000,000</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Protocol distribution</w:t>
            </w:r>
          </w:p>
        </w:tc>
      </w:tr>
      <w:tr>
        <w:tc>
          <w:tcPr>
            <w:tcW w:type="dxa" w:w="2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Marketing</w:t>
            </w:r>
          </w:p>
        </w:tc>
        <w:tc>
          <w:tcPr>
            <w:tcW w:type="dxa" w:w="11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6%</w:t>
            </w:r>
          </w:p>
        </w:tc>
        <w:tc>
          <w:tcPr>
            <w:tcW w:type="dxa" w:w="17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12,000,000</w:t>
            </w:r>
          </w:p>
        </w:tc>
        <w:tc>
          <w:tcPr>
            <w:tcW w:type="dxa" w:w="43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Quarterly over 24 months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Early Bird Sale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5%</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10,000,000</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200% bonus, 6-mo lock</w:t>
            </w:r>
          </w:p>
        </w:tc>
      </w:tr>
      <w:tr>
        <w:tc>
          <w:tcPr>
            <w:tcW w:type="dxa" w:w="2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Airdrop</w:t>
            </w:r>
          </w:p>
        </w:tc>
        <w:tc>
          <w:tcPr>
            <w:tcW w:type="dxa" w:w="11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5%</w:t>
            </w:r>
          </w:p>
        </w:tc>
        <w:tc>
          <w:tcPr>
            <w:tcW w:type="dxa" w:w="17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10,000,000</w:t>
            </w:r>
          </w:p>
        </w:tc>
        <w:tc>
          <w:tcPr>
            <w:tcW w:type="dxa" w:w="43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Phased over 12 months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Advisory</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5%</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10,000,000</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6-mo cliff + 12-mo linear</w:t>
            </w:r>
          </w:p>
        </w:tc>
      </w:tr>
      <w:tr>
        <w:tc>
          <w:tcPr>
            <w:tcW w:type="dxa" w:w="2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Seed Round</w:t>
            </w:r>
          </w:p>
        </w:tc>
        <w:tc>
          <w:tcPr>
            <w:tcW w:type="dxa" w:w="11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5%</w:t>
            </w:r>
          </w:p>
        </w:tc>
        <w:tc>
          <w:tcPr>
            <w:tcW w:type="dxa" w:w="17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10,000,000</w:t>
            </w:r>
          </w:p>
        </w:tc>
        <w:tc>
          <w:tcPr>
            <w:tcW w:type="dxa" w:w="43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3-mo cliff + 12-mo linear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Influencer</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3%</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6,000,000</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3-month lock-up</w:t>
            </w:r>
          </w:p>
        </w:tc>
      </w:tr>
    </w:tbl>
    <w:p>
      <w:pPr>
        <w:spacing w:after="200"/>
      </w:pPr>
    </w:p>
    <w:p>
      <w:pPr>
        <w:pStyle w:val="Heading2"/>
        <w:spacing w:after="180" w:before="300"/>
      </w:pPr>
      <w:r>
        <w:rPr>
          <w:rFonts w:ascii="Times New Roman" w:cs="Times New Roman" w:eastAsia="Times New Roman" w:hAnsi="Times New Roman"/>
          <w:b/>
          <w:bCs/>
          <w:sz w:val="28"/>
          <w:szCs w:val="28"/>
        </w:rPr>
        <w:t xml:space="preserve">3.3 Deflationary Mechanisms</w:t>
      </w:r>
    </w:p>
    <w:p>
      <w:pPr>
        <w:spacing w:after="180" w:before="0" w:line="360"/>
        <w:jc w:val="both"/>
      </w:pPr>
      <w:r>
        <w:rPr>
          <w:rFonts w:ascii="Times New Roman" w:cs="Times New Roman" w:eastAsia="Times New Roman" w:hAnsi="Times New Roman"/>
          <w:b/>
          <w:bCs/>
          <w:sz w:val="24"/>
          <w:szCs w:val="24"/>
        </w:rPr>
        <w:t xml:space="preserve">Transaction Burn: </w:t>
      </w:r>
      <w:r>
        <w:rPr>
          <w:rFonts w:ascii="Times New Roman" w:cs="Times New Roman" w:eastAsia="Times New Roman" w:hAnsi="Times New Roman"/>
          <w:sz w:val="24"/>
          <w:szCs w:val="24"/>
        </w:rPr>
        <w:t xml:space="preserve">2% of each CPC transfer is automatically burned via the smart contract, permanently reducing circulating supply.</w:t>
      </w:r>
    </w:p>
    <w:p>
      <w:pPr>
        <w:spacing w:after="180" w:before="0" w:line="360"/>
        <w:jc w:val="both"/>
      </w:pPr>
      <w:r>
        <w:rPr>
          <w:rFonts w:ascii="Times New Roman" w:cs="Times New Roman" w:eastAsia="Times New Roman" w:hAnsi="Times New Roman"/>
          <w:b/>
          <w:bCs/>
          <w:sz w:val="24"/>
          <w:szCs w:val="24"/>
        </w:rPr>
        <w:t xml:space="preserve">Quarterly Buyback: </w:t>
      </w:r>
      <w:r>
        <w:rPr>
          <w:rFonts w:ascii="Times New Roman" w:cs="Times New Roman" w:eastAsia="Times New Roman" w:hAnsi="Times New Roman"/>
          <w:sz w:val="24"/>
          <w:szCs w:val="24"/>
        </w:rPr>
        <w:t xml:space="preserve">25% of total funds raised are allocated to a dedicated buyback contract for periodic market purchases and token burns.</w:t>
      </w:r>
    </w:p>
    <w:p>
      <w:pPr>
        <w:spacing w:after="180" w:before="0" w:line="360"/>
        <w:jc w:val="both"/>
      </w:pPr>
      <w:r>
        <w:rPr>
          <w:rFonts w:ascii="Times New Roman" w:cs="Times New Roman" w:eastAsia="Times New Roman" w:hAnsi="Times New Roman"/>
          <w:b/>
          <w:bCs/>
          <w:sz w:val="24"/>
          <w:szCs w:val="24"/>
        </w:rPr>
        <w:t xml:space="preserve">Inactivity Reclamation: </w:t>
      </w:r>
      <w:r>
        <w:rPr>
          <w:rFonts w:ascii="Times New Roman" w:cs="Times New Roman" w:eastAsia="Times New Roman" w:hAnsi="Times New Roman"/>
          <w:sz w:val="24"/>
          <w:szCs w:val="24"/>
        </w:rPr>
        <w:t xml:space="preserve">Airdropped tokens unclaimed after 12 months are returned to the ecosystem reserve.</w:t>
      </w:r>
    </w:p>
    <w:p>
      <w:pPr>
        <w:pStyle w:val="Heading2"/>
        <w:spacing w:after="180" w:before="300"/>
      </w:pPr>
      <w:r>
        <w:rPr>
          <w:rFonts w:ascii="Times New Roman" w:cs="Times New Roman" w:eastAsia="Times New Roman" w:hAnsi="Times New Roman"/>
          <w:b/>
          <w:bCs/>
          <w:sz w:val="28"/>
          <w:szCs w:val="28"/>
        </w:rPr>
        <w:t xml:space="preserve">3.4 Dual-Token Architecture</w:t>
      </w:r>
    </w:p>
    <w:p>
      <w:pPr>
        <w:spacing w:after="180" w:before="0" w:line="360"/>
        <w:jc w:val="both"/>
      </w:pPr>
      <w:r>
        <w:rPr>
          <w:rFonts w:ascii="Times New Roman" w:cs="Times New Roman" w:eastAsia="Times New Roman" w:hAnsi="Times New Roman"/>
          <w:b/>
          <w:bCs/>
          <w:sz w:val="24"/>
          <w:szCs w:val="24"/>
        </w:rPr>
        <w:t xml:space="preserve">Coupon Coin (CPC): </w:t>
      </w:r>
      <w:r>
        <w:rPr>
          <w:rFonts w:ascii="Times New Roman" w:cs="Times New Roman" w:eastAsia="Times New Roman" w:hAnsi="Times New Roman"/>
          <w:sz w:val="24"/>
          <w:szCs w:val="24"/>
        </w:rPr>
        <w:t xml:space="preserve">The primary utility token for payments, rewards, staking, and governance.</w:t>
      </w:r>
    </w:p>
    <w:p>
      <w:pPr>
        <w:spacing w:after="180" w:before="0" w:line="360"/>
        <w:jc w:val="both"/>
      </w:pPr>
      <w:r>
        <w:rPr>
          <w:rFonts w:ascii="Times New Roman" w:cs="Times New Roman" w:eastAsia="Times New Roman" w:hAnsi="Times New Roman"/>
          <w:b/>
          <w:bCs/>
          <w:sz w:val="24"/>
          <w:szCs w:val="24"/>
        </w:rPr>
        <w:t xml:space="preserve">Locker Token: </w:t>
      </w:r>
      <w:r>
        <w:rPr>
          <w:rFonts w:ascii="Times New Roman" w:cs="Times New Roman" w:eastAsia="Times New Roman" w:hAnsi="Times New Roman"/>
          <w:sz w:val="24"/>
          <w:szCs w:val="24"/>
        </w:rPr>
        <w:t xml:space="preserve">A derivative token minted by staking 1,000 CPC. Each Locker Token represents fractional ownership of a physical smart locker. When the associated locker is used, the Reward Contract distributes CPC to the Locker Token holder—creating a direct link between real-world asset utilisation and token economics.</w:t>
      </w:r>
    </w:p>
    <w:p>
      <w:r>
        <w:br w:type="page"/>
      </w:r>
    </w:p>
    <w:p>
      <w:pPr>
        <w:pStyle w:val="Heading1"/>
        <w:spacing w:after="200" w:before="400"/>
      </w:pPr>
      <w:r>
        <w:rPr>
          <w:rFonts w:ascii="Times New Roman" w:cs="Times New Roman" w:eastAsia="Times New Roman" w:hAnsi="Times New Roman"/>
          <w:b/>
          <w:bCs/>
          <w:sz w:val="32"/>
          <w:szCs w:val="32"/>
        </w:rPr>
        <w:t xml:space="preserve">4. System Architecture</w:t>
      </w:r>
    </w:p>
    <w:p>
      <w:pPr>
        <w:pStyle w:val="Heading2"/>
        <w:spacing w:after="180" w:before="300"/>
      </w:pPr>
      <w:r>
        <w:rPr>
          <w:rFonts w:ascii="Times New Roman" w:cs="Times New Roman" w:eastAsia="Times New Roman" w:hAnsi="Times New Roman"/>
          <w:b/>
          <w:bCs/>
          <w:sz w:val="28"/>
          <w:szCs w:val="28"/>
        </w:rPr>
        <w:t xml:space="preserve">4.1 Three-Layer Design</w:t>
      </w:r>
    </w:p>
    <w:p>
      <w:pPr>
        <w:spacing w:after="180" w:before="0" w:line="360"/>
        <w:jc w:val="both"/>
      </w:pPr>
      <w:r>
        <w:rPr>
          <w:rFonts w:ascii="Times New Roman" w:cs="Times New Roman" w:eastAsia="Times New Roman" w:hAnsi="Times New Roman"/>
          <w:b/>
          <w:bCs/>
          <w:sz w:val="24"/>
          <w:szCs w:val="24"/>
        </w:rPr>
        <w:t xml:space="preserve">Layer 1 — Physical Layer: </w:t>
      </w:r>
      <w:r>
        <w:rPr>
          <w:rFonts w:ascii="Times New Roman" w:cs="Times New Roman" w:eastAsia="Times New Roman" w:hAnsi="Times New Roman"/>
          <w:sz w:val="24"/>
          <w:szCs w:val="24"/>
        </w:rPr>
        <w:t xml:space="preserve">Y Carry Smart Lockers equipped with NFC readers, QR code modules, and NB-IoT/4G communication modules. Modular design allows flexible deployment (indoor/outdoor, portable, battery-powered with 2+ year lifespan).</w:t>
      </w:r>
    </w:p>
    <w:p>
      <w:pPr>
        <w:spacing w:after="180" w:before="0" w:line="360"/>
        <w:jc w:val="both"/>
      </w:pPr>
      <w:r>
        <w:rPr>
          <w:rFonts w:ascii="Times New Roman" w:cs="Times New Roman" w:eastAsia="Times New Roman" w:hAnsi="Times New Roman"/>
          <w:b/>
          <w:bCs/>
          <w:sz w:val="24"/>
          <w:szCs w:val="24"/>
        </w:rPr>
        <w:t xml:space="preserve">Layer 2 — Application Layer: </w:t>
      </w:r>
      <w:r>
        <w:rPr>
          <w:rFonts w:ascii="Times New Roman" w:cs="Times New Roman" w:eastAsia="Times New Roman" w:hAnsi="Times New Roman"/>
          <w:sz w:val="24"/>
          <w:szCs w:val="24"/>
        </w:rPr>
        <w:t xml:space="preserve">Mobile application (iOS/Android) and mini-programme interface providing user wallet management, locker discovery, QR/NFC-based access, payment processing, and merchant coupon browsing.</w:t>
      </w:r>
    </w:p>
    <w:p>
      <w:pPr>
        <w:spacing w:after="180" w:before="0" w:line="360"/>
        <w:jc w:val="both"/>
      </w:pPr>
      <w:r>
        <w:rPr>
          <w:rFonts w:ascii="Times New Roman" w:cs="Times New Roman" w:eastAsia="Times New Roman" w:hAnsi="Times New Roman"/>
          <w:b/>
          <w:bCs/>
          <w:sz w:val="24"/>
          <w:szCs w:val="24"/>
        </w:rPr>
        <w:t xml:space="preserve">Layer 3 — Blockchain Layer: </w:t>
      </w:r>
      <w:r>
        <w:rPr>
          <w:rFonts w:ascii="Times New Roman" w:cs="Times New Roman" w:eastAsia="Times New Roman" w:hAnsi="Times New Roman"/>
          <w:sz w:val="24"/>
          <w:szCs w:val="24"/>
        </w:rPr>
        <w:t xml:space="preserve">Solana-based smart contracts handling token minting, transfer, burning, reward distribution, staking, and vesting. Layer 2 rollup architecture processes high-frequency locker transactions off-chain with periodic settlement to Layer 1.</w:t>
      </w:r>
    </w:p>
    <w:p>
      <w:pPr>
        <w:pStyle w:val="Heading2"/>
        <w:spacing w:after="180" w:before="300"/>
      </w:pPr>
      <w:r>
        <w:rPr>
          <w:rFonts w:ascii="Times New Roman" w:cs="Times New Roman" w:eastAsia="Times New Roman" w:hAnsi="Times New Roman"/>
          <w:b/>
          <w:bCs/>
          <w:sz w:val="28"/>
          <w:szCs w:val="28"/>
        </w:rPr>
        <w:t xml:space="preserve">4.2 Transaction Flow</w:t>
      </w:r>
    </w:p>
    <w:p>
      <w:pPr>
        <w:spacing w:after="180" w:before="0" w:line="360"/>
        <w:jc w:val="both"/>
      </w:pPr>
      <w:r>
        <w:rPr>
          <w:rFonts w:ascii="Times New Roman" w:cs="Times New Roman" w:eastAsia="Times New Roman" w:hAnsi="Times New Roman"/>
          <w:sz w:val="24"/>
          <w:szCs w:val="24"/>
        </w:rPr>
        <w:t xml:space="preserve">1. User scans QR code or taps NFC at locker. 2. App authenticates user and presents payment options. 3. For CPC payment: smart contract deducts tokens (with 20% discount vs fiat). For fiat payment: traditional gateway processes charge. 4. IoT controller receives unlock command; locker opens. 5. Upon session end, settlement triggers. 6. Reward Contract mints CPC to user wallet (90% to user, 10% to associated investor/Locker Token holder).</w:t>
      </w:r>
    </w:p>
    <w:p>
      <w:pPr>
        <w:pStyle w:val="Heading2"/>
        <w:spacing w:after="180" w:before="300"/>
      </w:pPr>
      <w:r>
        <w:rPr>
          <w:rFonts w:ascii="Times New Roman" w:cs="Times New Roman" w:eastAsia="Times New Roman" w:hAnsi="Times New Roman"/>
          <w:b/>
          <w:bCs/>
          <w:sz w:val="28"/>
          <w:szCs w:val="28"/>
        </w:rPr>
        <w:t xml:space="preserve">4.3 Smart Contract Design</w:t>
      </w:r>
    </w:p>
    <w:p>
      <w:pPr>
        <w:spacing w:after="180" w:before="0" w:line="360"/>
        <w:jc w:val="both"/>
      </w:pPr>
      <w:r>
        <w:rPr>
          <w:rFonts w:ascii="Times New Roman" w:cs="Times New Roman" w:eastAsia="Times New Roman" w:hAnsi="Times New Roman"/>
          <w:b/>
          <w:bCs/>
          <w:sz w:val="24"/>
          <w:szCs w:val="24"/>
        </w:rPr>
        <w:t xml:space="preserve">CouponCoin.sol: </w:t>
      </w:r>
      <w:r>
        <w:rPr>
          <w:rFonts w:ascii="Times New Roman" w:cs="Times New Roman" w:eastAsia="Times New Roman" w:hAnsi="Times New Roman"/>
          <w:sz w:val="24"/>
          <w:szCs w:val="24"/>
        </w:rPr>
        <w:t xml:space="preserve">ERC-20 compatible SPL token with auto-burn on transfer (2% burn rate). Mint authority retained for reward distribution.</w:t>
      </w:r>
    </w:p>
    <w:p>
      <w:pPr>
        <w:spacing w:after="180" w:before="0" w:line="360"/>
        <w:jc w:val="both"/>
      </w:pPr>
      <w:r>
        <w:rPr>
          <w:rFonts w:ascii="Times New Roman" w:cs="Times New Roman" w:eastAsia="Times New Roman" w:hAnsi="Times New Roman"/>
          <w:b/>
          <w:bCs/>
          <w:sz w:val="24"/>
          <w:szCs w:val="24"/>
        </w:rPr>
        <w:t xml:space="preserve">LockerPayment.sol: </w:t>
      </w:r>
      <w:r>
        <w:rPr>
          <w:rFonts w:ascii="Times New Roman" w:cs="Times New Roman" w:eastAsia="Times New Roman" w:hAnsi="Times New Roman"/>
          <w:sz w:val="24"/>
          <w:szCs w:val="24"/>
        </w:rPr>
        <w:t xml:space="preserve">Manages CPC-based locker payments with configurable discount rates. Processes fiat-equivalent CPC rewards post-settlement.</w:t>
      </w:r>
    </w:p>
    <w:p>
      <w:pPr>
        <w:spacing w:after="180" w:before="0" w:line="360"/>
        <w:jc w:val="both"/>
      </w:pPr>
      <w:r>
        <w:rPr>
          <w:rFonts w:ascii="Times New Roman" w:cs="Times New Roman" w:eastAsia="Times New Roman" w:hAnsi="Times New Roman"/>
          <w:b/>
          <w:bCs/>
          <w:sz w:val="24"/>
          <w:szCs w:val="24"/>
        </w:rPr>
        <w:t xml:space="preserve">LoyaltyTier.sol: </w:t>
      </w:r>
      <w:r>
        <w:rPr>
          <w:rFonts w:ascii="Times New Roman" w:cs="Times New Roman" w:eastAsia="Times New Roman" w:hAnsi="Times New Roman"/>
          <w:sz w:val="24"/>
          <w:szCs w:val="24"/>
        </w:rPr>
        <w:t xml:space="preserve">Tiered membership system (Bronze/Silver/Gold/Platinum) with cumulative spending thresholds triggering automatic upgrades and increased reward multipliers (1.0x/1.25x/1.5x/2.0x).</w:t>
      </w:r>
    </w:p>
    <w:p>
      <w:pPr>
        <w:spacing w:after="180" w:before="0" w:line="360"/>
        <w:jc w:val="both"/>
      </w:pPr>
      <w:r>
        <w:rPr>
          <w:rFonts w:ascii="Times New Roman" w:cs="Times New Roman" w:eastAsia="Times New Roman" w:hAnsi="Times New Roman"/>
          <w:b/>
          <w:bCs/>
          <w:sz w:val="24"/>
          <w:szCs w:val="24"/>
        </w:rPr>
        <w:t xml:space="preserve">TokenVesting.sol: </w:t>
      </w:r>
      <w:r>
        <w:rPr>
          <w:rFonts w:ascii="Times New Roman" w:cs="Times New Roman" w:eastAsia="Times New Roman" w:hAnsi="Times New Roman"/>
          <w:sz w:val="24"/>
          <w:szCs w:val="24"/>
        </w:rPr>
        <w:t xml:space="preserve">Time-locked release schedules for team, advisory, and seed allocations with cliff periods and linear vesting.</w:t>
      </w:r>
    </w:p>
    <w:p>
      <w:pPr>
        <w:spacing w:after="180" w:before="0" w:line="360"/>
        <w:jc w:val="both"/>
      </w:pPr>
      <w:r>
        <w:rPr>
          <w:rFonts w:ascii="Times New Roman" w:cs="Times New Roman" w:eastAsia="Times New Roman" w:hAnsi="Times New Roman"/>
          <w:b/>
          <w:bCs/>
          <w:sz w:val="24"/>
          <w:szCs w:val="24"/>
        </w:rPr>
        <w:t xml:space="preserve">BuybackBurn.sol: </w:t>
      </w:r>
      <w:r>
        <w:rPr>
          <w:rFonts w:ascii="Times New Roman" w:cs="Times New Roman" w:eastAsia="Times New Roman" w:hAnsi="Times New Roman"/>
          <w:sz w:val="24"/>
          <w:szCs w:val="24"/>
        </w:rPr>
        <w:t xml:space="preserve">Periodic market buyback and token destruction, funded by 25% of raised capital.</w:t>
      </w:r>
    </w:p>
    <w:p>
      <w:r>
        <w:br w:type="page"/>
      </w:r>
    </w:p>
    <w:p>
      <w:pPr>
        <w:pStyle w:val="Heading1"/>
        <w:spacing w:after="200" w:before="400"/>
      </w:pPr>
      <w:r>
        <w:rPr>
          <w:rFonts w:ascii="Times New Roman" w:cs="Times New Roman" w:eastAsia="Times New Roman" w:hAnsi="Times New Roman"/>
          <w:b/>
          <w:bCs/>
          <w:sz w:val="32"/>
          <w:szCs w:val="32"/>
        </w:rPr>
        <w:t xml:space="preserve">5. Ecosystem Use Cases</w:t>
      </w:r>
    </w:p>
    <w:p>
      <w:pPr>
        <w:pStyle w:val="Heading2"/>
        <w:spacing w:after="180" w:before="300"/>
      </w:pPr>
      <w:r>
        <w:rPr>
          <w:rFonts w:ascii="Times New Roman" w:cs="Times New Roman" w:eastAsia="Times New Roman" w:hAnsi="Times New Roman"/>
          <w:b/>
          <w:bCs/>
          <w:sz w:val="28"/>
          <w:szCs w:val="28"/>
        </w:rPr>
        <w:t xml:space="preserve">5.1 Locker Payment with CPC</w:t>
      </w:r>
    </w:p>
    <w:p>
      <w:pPr>
        <w:spacing w:after="180" w:before="0" w:line="360"/>
        <w:jc w:val="both"/>
      </w:pPr>
      <w:r>
        <w:rPr>
          <w:rFonts w:ascii="Times New Roman" w:cs="Times New Roman" w:eastAsia="Times New Roman" w:hAnsi="Times New Roman"/>
          <w:sz w:val="24"/>
          <w:szCs w:val="24"/>
        </w:rPr>
        <w:t xml:space="preserve">Users holding CPC may pay for locker usage at a 20% discount relative to fiat pricing. Example: a 2-hour storage session priced at HKD 10 costs only 80 CPC (equivalent to HKD 8 at the initial exchange rate of 1 CPC = 0.10 USDT).</w:t>
      </w:r>
    </w:p>
    <w:p>
      <w:pPr>
        <w:pStyle w:val="Heading2"/>
        <w:spacing w:after="180" w:before="300"/>
      </w:pPr>
      <w:r>
        <w:rPr>
          <w:rFonts w:ascii="Times New Roman" w:cs="Times New Roman" w:eastAsia="Times New Roman" w:hAnsi="Times New Roman"/>
          <w:b/>
          <w:bCs/>
          <w:sz w:val="28"/>
          <w:szCs w:val="28"/>
        </w:rPr>
        <w:t xml:space="preserve">5.2 Earn-While-You-Store</w:t>
      </w:r>
    </w:p>
    <w:p>
      <w:pPr>
        <w:spacing w:after="180" w:before="0" w:line="360"/>
        <w:jc w:val="both"/>
      </w:pPr>
      <w:r>
        <w:rPr>
          <w:rFonts w:ascii="Times New Roman" w:cs="Times New Roman" w:eastAsia="Times New Roman" w:hAnsi="Times New Roman"/>
          <w:sz w:val="24"/>
          <w:szCs w:val="24"/>
        </w:rPr>
        <w:t xml:space="preserve">Users paying via fiat receive CPC cashback proportional to their membership tier: Bronze 3%, Silver 5%, Gold 8%, Platinum 12%. This mechanism incentivises repeated locker usage and drives organic token demand.</w:t>
      </w:r>
    </w:p>
    <w:p>
      <w:pPr>
        <w:pStyle w:val="Heading2"/>
        <w:spacing w:after="180" w:before="300"/>
      </w:pPr>
      <w:r>
        <w:rPr>
          <w:rFonts w:ascii="Times New Roman" w:cs="Times New Roman" w:eastAsia="Times New Roman" w:hAnsi="Times New Roman"/>
          <w:b/>
          <w:bCs/>
          <w:sz w:val="28"/>
          <w:szCs w:val="28"/>
        </w:rPr>
        <w:t xml:space="preserve">5.3 Merchant Alliance</w:t>
      </w:r>
    </w:p>
    <w:p>
      <w:pPr>
        <w:spacing w:after="180" w:before="0" w:line="360"/>
        <w:jc w:val="both"/>
      </w:pPr>
      <w:r>
        <w:rPr>
          <w:rFonts w:ascii="Times New Roman" w:cs="Times New Roman" w:eastAsia="Times New Roman" w:hAnsi="Times New Roman"/>
          <w:sz w:val="24"/>
          <w:szCs w:val="24"/>
        </w:rPr>
        <w:t xml:space="preserve">Partner merchants (restaurants, retail outlets, entertainment venues co-located near locker deployments) accept CPC as partial payment, issue CPC-denominated promotions, and benefit from directed foot traffic. A 1–3% merchant processing fee generates ecosystem revenue.</w:t>
      </w:r>
    </w:p>
    <w:p>
      <w:pPr>
        <w:pStyle w:val="Heading2"/>
        <w:spacing w:after="180" w:before="300"/>
      </w:pPr>
      <w:r>
        <w:rPr>
          <w:rFonts w:ascii="Times New Roman" w:cs="Times New Roman" w:eastAsia="Times New Roman" w:hAnsi="Times New Roman"/>
          <w:b/>
          <w:bCs/>
          <w:sz w:val="28"/>
          <w:szCs w:val="28"/>
        </w:rPr>
        <w:t xml:space="preserve">5.4 Advertising Integration</w:t>
      </w:r>
    </w:p>
    <w:p>
      <w:pPr>
        <w:spacing w:after="180" w:before="0" w:line="360"/>
        <w:jc w:val="both"/>
      </w:pPr>
      <w:r>
        <w:rPr>
          <w:rFonts w:ascii="Times New Roman" w:cs="Times New Roman" w:eastAsia="Times New Roman" w:hAnsi="Times New Roman"/>
          <w:sz w:val="24"/>
          <w:szCs w:val="24"/>
        </w:rPr>
        <w:t xml:space="preserve">Locker interaction events (app open, QR scan) serve as advertising touchpoints. Users who view or engage with partner advertisements receive bonus CPC, creating a three-party value exchange between users, advertisers, and the platform.</w:t>
      </w:r>
    </w:p>
    <w:p>
      <w:r>
        <w:br w:type="page"/>
      </w:r>
    </w:p>
    <w:p>
      <w:pPr>
        <w:pStyle w:val="Heading1"/>
        <w:spacing w:after="200" w:before="400"/>
      </w:pPr>
      <w:r>
        <w:rPr>
          <w:rFonts w:ascii="Times New Roman" w:cs="Times New Roman" w:eastAsia="Times New Roman" w:hAnsi="Times New Roman"/>
          <w:b/>
          <w:bCs/>
          <w:sz w:val="32"/>
          <w:szCs w:val="32"/>
        </w:rPr>
        <w:t xml:space="preserve">6. Market Analysis</w:t>
      </w:r>
    </w:p>
    <w:p>
      <w:pPr>
        <w:pStyle w:val="Heading2"/>
        <w:spacing w:after="180" w:before="300"/>
      </w:pPr>
      <w:r>
        <w:rPr>
          <w:rFonts w:ascii="Times New Roman" w:cs="Times New Roman" w:eastAsia="Times New Roman" w:hAnsi="Times New Roman"/>
          <w:b/>
          <w:bCs/>
          <w:sz w:val="28"/>
          <w:szCs w:val="28"/>
        </w:rPr>
        <w:t xml:space="preserve">6.1 Addressable Market</w:t>
      </w:r>
    </w:p>
    <w:p>
      <w:pPr>
        <w:spacing w:after="180" w:before="0" w:line="360"/>
        <w:jc w:val="both"/>
      </w:pPr>
      <w:r>
        <w:rPr>
          <w:rFonts w:ascii="Times New Roman" w:cs="Times New Roman" w:eastAsia="Times New Roman" w:hAnsi="Times New Roman"/>
          <w:sz w:val="24"/>
          <w:szCs w:val="24"/>
        </w:rPr>
        <w:t xml:space="preserve">Y Carry targets deployment of 2,500,000 lockers globally within five years, serving an estimated 10,000,000 daily active users. Current deployments span Hong Kong (active), Indonesia (1,300+ contracted), and Japan (under negotiation). The smart locker market is projected to grow at a CAGR of 12.4% through 2030.</w:t>
      </w:r>
    </w:p>
    <w:p>
      <w:pPr>
        <w:pStyle w:val="Heading2"/>
        <w:spacing w:after="180" w:before="300"/>
      </w:pPr>
      <w:r>
        <w:rPr>
          <w:rFonts w:ascii="Times New Roman" w:cs="Times New Roman" w:eastAsia="Times New Roman" w:hAnsi="Times New Roman"/>
          <w:b/>
          <w:bCs/>
          <w:sz w:val="28"/>
          <w:szCs w:val="28"/>
        </w:rPr>
        <w:t xml:space="preserve">6.2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Feature</w:t>
            </w:r>
          </w:p>
        </w:tc>
        <w:tc>
          <w:tcPr>
            <w:tcW w:type="dxa" w:w="358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Traditional Lockers</w:t>
            </w:r>
          </w:p>
        </w:tc>
        <w:tc>
          <w:tcPr>
            <w:tcW w:type="dxa" w:w="358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Y Carry + CPC</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Payment</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Coins/cards/fixed fee</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CPC tokens + fiat with rewards</w:t>
            </w:r>
          </w:p>
        </w:tc>
      </w:tr>
      <w:tr>
        <w:tc>
          <w:tcPr>
            <w:tcW w:type="dxa" w:w="2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User Loyalty</w:t>
            </w:r>
          </w:p>
        </w:tc>
        <w:tc>
          <w:tcPr>
            <w:tcW w:type="dxa" w:w="35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None</w:t>
            </w:r>
          </w:p>
        </w:tc>
        <w:tc>
          <w:tcPr>
            <w:tcW w:type="dxa" w:w="35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Tiered membership + token incentives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Portability</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Fixed, requires power</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Wireless, battery-powered, modular</w:t>
            </w:r>
          </w:p>
        </w:tc>
      </w:tr>
      <w:tr>
        <w:tc>
          <w:tcPr>
            <w:tcW w:type="dxa" w:w="2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Revenue Streams</w:t>
            </w:r>
          </w:p>
        </w:tc>
        <w:tc>
          <w:tcPr>
            <w:tcW w:type="dxa" w:w="35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Single (usage fee)</w:t>
            </w:r>
          </w:p>
        </w:tc>
        <w:tc>
          <w:tcPr>
            <w:tcW w:type="dxa" w:w="35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Multiple (usage, ads, merchant fees, data)</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Interoperability</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Standalone</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Cross-merchant token ecosystem</w:t>
            </w:r>
          </w:p>
        </w:tc>
      </w:tr>
    </w:tbl>
    <w:p>
      <w:r>
        <w:br w:type="page"/>
      </w:r>
    </w:p>
    <w:p>
      <w:pPr>
        <w:pStyle w:val="Heading1"/>
        <w:spacing w:after="200" w:before="400"/>
      </w:pPr>
      <w:r>
        <w:rPr>
          <w:rFonts w:ascii="Times New Roman" w:cs="Times New Roman" w:eastAsia="Times New Roman" w:hAnsi="Times New Roman"/>
          <w:b/>
          <w:bCs/>
          <w:sz w:val="32"/>
          <w:szCs w:val="32"/>
        </w:rPr>
        <w:t xml:space="preserve">7.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6000"/>
      </w:tblGrid>
      <w:tr>
        <w:tc>
          <w:tcPr>
            <w:tcW w:type="dxa" w:w="18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Phase</w:t>
            </w:r>
          </w:p>
        </w:tc>
        <w:tc>
          <w:tcPr>
            <w:tcW w:type="dxa" w:w="156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Timeline</w:t>
            </w:r>
          </w:p>
        </w:tc>
        <w:tc>
          <w:tcPr>
            <w:tcW w:type="dxa" w:w="60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Milestones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Phase 1: Foundation</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Q2 2026</w:t>
            </w:r>
          </w:p>
        </w:tc>
        <w:tc>
          <w:tcPr>
            <w:tcW w:type="dxa" w:w="6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Legal entity registration; whitepaper finalisation; testnet deployment; brand identity launch</w:t>
            </w:r>
          </w:p>
        </w:tc>
      </w:tr>
      <w:tr>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Phase 2: Token Launch</w:t>
            </w:r>
          </w:p>
        </w:tc>
        <w:tc>
          <w:tcPr>
            <w:tcW w:type="dxa" w:w="15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Q3 2026</w:t>
            </w:r>
          </w:p>
        </w:tc>
        <w:tc>
          <w:tcPr>
            <w:tcW w:type="dxa" w:w="6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Mainnet CPC deployment; Early Bird Sale; DEX liquidity (Raydium); vesting contracts live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Phase 3: Ecosystem</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Q4 2026</w:t>
            </w:r>
          </w:p>
        </w:tc>
        <w:tc>
          <w:tcPr>
            <w:tcW w:type="dxa" w:w="6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Public Sale; CEX listing (MEXC/Gate.io); locker reward system live; merchant onboarding</w:t>
            </w:r>
          </w:p>
        </w:tc>
      </w:tr>
      <w:tr>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Phase 4: Scale</w:t>
            </w:r>
          </w:p>
        </w:tc>
        <w:tc>
          <w:tcPr>
            <w:tcW w:type="dxa" w:w="15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2027+</w:t>
            </w:r>
          </w:p>
        </w:tc>
        <w:tc>
          <w:tcPr>
            <w:tcW w:type="dxa" w:w="6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Multi-CEX expansion; Carry-T trading bot; Y Carry Chain development; Japan/SEA market rollout</w:t>
            </w:r>
          </w:p>
        </w:tc>
      </w:tr>
    </w:tbl>
    <w:p>
      <w:r>
        <w:br w:type="page"/>
      </w:r>
    </w:p>
    <w:p>
      <w:pPr>
        <w:pStyle w:val="Heading1"/>
        <w:spacing w:after="200" w:before="400"/>
      </w:pPr>
      <w:r>
        <w:rPr>
          <w:rFonts w:ascii="Times New Roman" w:cs="Times New Roman" w:eastAsia="Times New Roman" w:hAnsi="Times New Roman"/>
          <w:b/>
          <w:bCs/>
          <w:sz w:val="32"/>
          <w:szCs w:val="32"/>
        </w:rPr>
        <w:t xml:space="preserve">8. Financial Projections</w:t>
      </w:r>
    </w:p>
    <w:p>
      <w:pPr>
        <w:pStyle w:val="Heading2"/>
        <w:spacing w:after="180" w:before="300"/>
      </w:pPr>
      <w:r>
        <w:rPr>
          <w:rFonts w:ascii="Times New Roman" w:cs="Times New Roman" w:eastAsia="Times New Roman" w:hAnsi="Times New Roman"/>
          <w:b/>
          <w:bCs/>
          <w:sz w:val="28"/>
          <w:szCs w:val="28"/>
        </w:rPr>
        <w:t xml:space="preserve">8.1 Token Launch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Category</w:t>
            </w:r>
          </w:p>
        </w:tc>
        <w:tc>
          <w:tcPr>
            <w:tcW w:type="dxa" w:w="468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Estimated Cost (USD)</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Legal opinion &amp; entity registration</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13,000 – 38,000</w:t>
            </w:r>
          </w:p>
        </w:tc>
      </w:tr>
      <w:tr>
        <w:tc>
          <w:tcPr>
            <w:tcW w:type="dxa" w:w="46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Smart contract development &amp; audit</w:t>
            </w:r>
          </w:p>
        </w:tc>
        <w:tc>
          <w:tcPr>
            <w:tcW w:type="dxa" w:w="46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27,000 – 85,000</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DEX initial liquidity</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100,000 – 500,000</w:t>
            </w:r>
          </w:p>
        </w:tc>
      </w:tr>
      <w:tr>
        <w:tc>
          <w:tcPr>
            <w:tcW w:type="dxa" w:w="46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Website &amp; token sale platform</w:t>
            </w:r>
          </w:p>
        </w:tc>
        <w:tc>
          <w:tcPr>
            <w:tcW w:type="dxa" w:w="46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5,000 – 15,000</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First CEX listing + market maker</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80,000 – 300,000</w:t>
            </w:r>
          </w:p>
        </w:tc>
      </w:tr>
      <w:tr>
        <w:tc>
          <w:tcPr>
            <w:tcW w:type="dxa" w:w="46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Marketing &amp; community (6 months)</w:t>
            </w:r>
          </w:p>
        </w:tc>
        <w:tc>
          <w:tcPr>
            <w:tcW w:type="dxa" w:w="46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30,000 – 130,000</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Total</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255,000 – 1,068,000</w:t>
            </w:r>
          </w:p>
        </w:tc>
      </w:tr>
    </w:tbl>
    <w:p>
      <w:pPr>
        <w:spacing w:after="200"/>
      </w:pPr>
    </w:p>
    <w:p>
      <w:pPr>
        <w:pStyle w:val="Heading2"/>
        <w:spacing w:after="180" w:before="300"/>
      </w:pPr>
      <w:r>
        <w:rPr>
          <w:rFonts w:ascii="Times New Roman" w:cs="Times New Roman" w:eastAsia="Times New Roman" w:hAnsi="Times New Roman"/>
          <w:b/>
          <w:bCs/>
          <w:sz w:val="28"/>
          <w:szCs w:val="28"/>
        </w:rPr>
        <w:t xml:space="preserve">8.2 Revenue Model</w:t>
      </w:r>
    </w:p>
    <w:p>
      <w:pPr>
        <w:pStyle w:val="ListParagraph"/>
        <w:numPr>
          <w:ilvl w:val="0"/>
          <w:numId w:val="2"/>
        </w:numPr>
        <w:spacing w:after="100" w:line="340"/>
      </w:pPr>
      <w:r>
        <w:rPr>
          <w:rFonts w:ascii="Times New Roman" w:cs="Times New Roman" w:eastAsia="Times New Roman" w:hAnsi="Times New Roman"/>
          <w:sz w:val="24"/>
          <w:szCs w:val="24"/>
        </w:rPr>
        <w:t xml:space="preserve">Locker usage fees (fiat + CPC)</w:t>
      </w:r>
    </w:p>
    <w:p>
      <w:pPr>
        <w:pStyle w:val="ListParagraph"/>
        <w:numPr>
          <w:ilvl w:val="0"/>
          <w:numId w:val="2"/>
        </w:numPr>
        <w:spacing w:after="100" w:line="340"/>
      </w:pPr>
      <w:r>
        <w:rPr>
          <w:rFonts w:ascii="Times New Roman" w:cs="Times New Roman" w:eastAsia="Times New Roman" w:hAnsi="Times New Roman"/>
          <w:sz w:val="24"/>
          <w:szCs w:val="24"/>
        </w:rPr>
        <w:t xml:space="preserve">Advertising revenue (in-app and locker-surface placements)</w:t>
      </w:r>
    </w:p>
    <w:p>
      <w:pPr>
        <w:pStyle w:val="ListParagraph"/>
        <w:numPr>
          <w:ilvl w:val="0"/>
          <w:numId w:val="2"/>
        </w:numPr>
        <w:spacing w:after="100" w:line="340"/>
      </w:pPr>
      <w:r>
        <w:rPr>
          <w:rFonts w:ascii="Times New Roman" w:cs="Times New Roman" w:eastAsia="Times New Roman" w:hAnsi="Times New Roman"/>
          <w:sz w:val="24"/>
          <w:szCs w:val="24"/>
        </w:rPr>
        <w:t xml:space="preserve">Merchant alliance processing fees (1–3% per transaction)</w:t>
      </w:r>
    </w:p>
    <w:p>
      <w:pPr>
        <w:pStyle w:val="ListParagraph"/>
        <w:numPr>
          <w:ilvl w:val="0"/>
          <w:numId w:val="2"/>
        </w:numPr>
        <w:spacing w:after="100" w:line="340"/>
      </w:pPr>
      <w:r>
        <w:rPr>
          <w:rFonts w:ascii="Times New Roman" w:cs="Times New Roman" w:eastAsia="Times New Roman" w:hAnsi="Times New Roman"/>
          <w:sz w:val="24"/>
          <w:szCs w:val="24"/>
        </w:rPr>
        <w:t xml:space="preserve">Data analytics services for facility operators</w:t>
      </w:r>
    </w:p>
    <w:p>
      <w:pPr>
        <w:pStyle w:val="ListParagraph"/>
        <w:numPr>
          <w:ilvl w:val="0"/>
          <w:numId w:val="2"/>
        </w:numPr>
        <w:spacing w:after="100" w:line="340"/>
      </w:pPr>
      <w:r>
        <w:rPr>
          <w:rFonts w:ascii="Times New Roman" w:cs="Times New Roman" w:eastAsia="Times New Roman" w:hAnsi="Times New Roman"/>
          <w:sz w:val="24"/>
          <w:szCs w:val="24"/>
        </w:rPr>
        <w:t xml:space="preserve">Token appreciation from ecosystem growth</w:t>
      </w:r>
    </w:p>
    <w:p>
      <w:r>
        <w:br w:type="page"/>
      </w:r>
    </w:p>
    <w:p>
      <w:pPr>
        <w:pStyle w:val="Heading1"/>
        <w:spacing w:after="200" w:before="400"/>
      </w:pPr>
      <w:r>
        <w:rPr>
          <w:rFonts w:ascii="Times New Roman" w:cs="Times New Roman" w:eastAsia="Times New Roman" w:hAnsi="Times New Roman"/>
          <w:b/>
          <w:bCs/>
          <w:sz w:val="32"/>
          <w:szCs w:val="32"/>
        </w:rPr>
        <w:t xml:space="preserve">9. Risk Analysis and Regulatory Compliance</w:t>
      </w:r>
    </w:p>
    <w:p>
      <w:pPr>
        <w:pStyle w:val="Heading2"/>
        <w:spacing w:after="180" w:before="300"/>
      </w:pPr>
      <w:r>
        <w:rPr>
          <w:rFonts w:ascii="Times New Roman" w:cs="Times New Roman" w:eastAsia="Times New Roman" w:hAnsi="Times New Roman"/>
          <w:b/>
          <w:bCs/>
          <w:sz w:val="28"/>
          <w:szCs w:val="28"/>
        </w:rPr>
        <w:t xml:space="preserve">9.1 Regulatory Framework</w:t>
      </w:r>
    </w:p>
    <w:p>
      <w:pPr>
        <w:spacing w:after="180" w:before="0" w:line="360"/>
        <w:jc w:val="both"/>
      </w:pPr>
      <w:r>
        <w:rPr>
          <w:rFonts w:ascii="Times New Roman" w:cs="Times New Roman" w:eastAsia="Times New Roman" w:hAnsi="Times New Roman"/>
          <w:sz w:val="24"/>
          <w:szCs w:val="24"/>
        </w:rPr>
        <w:t xml:space="preserve">CPC is classified as a utility token providing functional access within the Y Carry ecosystem. The token-issuing entity shall be incorporated in a jurisdiction with established virtual asset regulatory frameworks (Singapore, BVI, or UAE). The Hong Kong operating entity shall be limited to physical locker operations, maintaining clear legal separation from token issuance activities.</w:t>
      </w:r>
    </w:p>
    <w:p>
      <w:pPr>
        <w:pStyle w:val="Heading2"/>
        <w:spacing w:after="180" w:before="300"/>
      </w:pPr>
      <w:r>
        <w:rPr>
          <w:rFonts w:ascii="Times New Roman" w:cs="Times New Roman" w:eastAsia="Times New Roman" w:hAnsi="Times New Roman"/>
          <w:b/>
          <w:bCs/>
          <w:sz w:val="28"/>
          <w:szCs w:val="28"/>
        </w:rPr>
        <w:t xml:space="preserve">9.2 Risk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c>
          <w:tcPr>
            <w:tcW w:type="dxa" w:w="22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Risk</w:t>
            </w:r>
          </w:p>
        </w:tc>
        <w:tc>
          <w:tcPr>
            <w:tcW w:type="dxa" w:w="11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Severity</w:t>
            </w:r>
          </w:p>
        </w:tc>
        <w:tc>
          <w:tcPr>
            <w:tcW w:type="dxa" w:w="606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Mitigation Strategy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Regulatory reclassification as security</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High</w:t>
            </w:r>
          </w:p>
        </w:tc>
        <w:tc>
          <w:tcPr>
            <w:tcW w:type="dxa" w:w="6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Legal opinion; utility-only design; offshore issuance entity</w:t>
            </w:r>
          </w:p>
        </w:tc>
      </w:tr>
      <w:tr>
        <w:tc>
          <w:tcPr>
            <w:tcW w:type="dxa" w:w="2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Smart contract vulnerability</w:t>
            </w:r>
          </w:p>
        </w:tc>
        <w:tc>
          <w:tcPr>
            <w:tcW w:type="dxa" w:w="11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High</w:t>
            </w:r>
          </w:p>
        </w:tc>
        <w:tc>
          <w:tcPr>
            <w:tcW w:type="dxa" w:w="60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Third-party audit (CertiK/OtterSec); multi-sig administration; bug bounty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Liquidity shortfall</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Medium</w:t>
            </w:r>
          </w:p>
        </w:tc>
        <w:tc>
          <w:tcPr>
            <w:tcW w:type="dxa" w:w="6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13% allocation to LP; market maker partnerships; locked LP tokens</w:t>
            </w:r>
          </w:p>
        </w:tc>
      </w:tr>
      <w:tr>
        <w:tc>
          <w:tcPr>
            <w:tcW w:type="dxa" w:w="2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Token price volatility</w:t>
            </w:r>
          </w:p>
        </w:tc>
        <w:tc>
          <w:tcPr>
            <w:tcW w:type="dxa" w:w="11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Medium</w:t>
            </w:r>
          </w:p>
        </w:tc>
        <w:tc>
          <w:tcPr>
            <w:tcW w:type="dxa" w:w="60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Buyback mechanism; real-usage anchoring; price stabilisation fund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Cold start / adoption</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Medium</w:t>
            </w:r>
          </w:p>
        </w:tc>
        <w:tc>
          <w:tcPr>
            <w:tcW w:type="dxa" w:w="6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Generous early-stage rewards; airdrop campaigns; merchant subsidies</w:t>
            </w:r>
          </w:p>
        </w:tc>
      </w:tr>
    </w:tbl>
    <w:p>
      <w:r>
        <w:br w:type="page"/>
      </w:r>
    </w:p>
    <w:p>
      <w:pPr>
        <w:pStyle w:val="Heading1"/>
        <w:spacing w:after="200" w:before="400"/>
      </w:pPr>
      <w:r>
        <w:rPr>
          <w:rFonts w:ascii="Times New Roman" w:cs="Times New Roman" w:eastAsia="Times New Roman" w:hAnsi="Times New Roman"/>
          <w:b/>
          <w:bCs/>
          <w:sz w:val="32"/>
          <w:szCs w:val="32"/>
        </w:rPr>
        <w:t xml:space="preserve">10. Governance Framework</w:t>
      </w:r>
    </w:p>
    <w:p>
      <w:pPr>
        <w:spacing w:after="180" w:before="0" w:line="360"/>
        <w:jc w:val="both"/>
      </w:pPr>
      <w:r>
        <w:rPr>
          <w:rFonts w:ascii="Times New Roman" w:cs="Times New Roman" w:eastAsia="Times New Roman" w:hAnsi="Times New Roman"/>
          <w:sz w:val="24"/>
          <w:szCs w:val="24"/>
        </w:rPr>
        <w:t xml:space="preserve">As the ecosystem matures, a Decentralised Autonomous Organisation (DAO) governance model will be progressively introduced. CPC holders exceeding a minimum staking threshold will gain voting rights on key protocol parameters, including reward rates, burn percentages, merchant onboarding criteria, and treasury allocation. Governance proposals require a 5% quorum and a simple majority for passage, with a 7-day voting period and 2-day timelock before execution.</w:t>
      </w:r>
    </w:p>
    <w:p>
      <w:r>
        <w:br w:type="page"/>
      </w:r>
    </w:p>
    <w:p>
      <w:pPr>
        <w:pStyle w:val="Heading1"/>
        <w:spacing w:after="200" w:before="400"/>
      </w:pPr>
      <w:r>
        <w:rPr>
          <w:rFonts w:ascii="Times New Roman" w:cs="Times New Roman" w:eastAsia="Times New Roman" w:hAnsi="Times New Roman"/>
          <w:b/>
          <w:bCs/>
          <w:sz w:val="32"/>
          <w:szCs w:val="32"/>
        </w:rPr>
        <w:t xml:space="preserve">11. Conclusion</w:t>
      </w:r>
    </w:p>
    <w:p>
      <w:pPr>
        <w:spacing w:after="180" w:before="0" w:line="360"/>
        <w:jc w:val="both"/>
      </w:pPr>
      <w:r>
        <w:rPr>
          <w:rFonts w:ascii="Times New Roman" w:cs="Times New Roman" w:eastAsia="Times New Roman" w:hAnsi="Times New Roman"/>
          <w:sz w:val="24"/>
          <w:szCs w:val="24"/>
        </w:rPr>
        <w:t xml:space="preserve">Coupon Coin represents a novel approach to bridging blockchain technology with physical consumer infrastructure. By anchoring token utility to real-world smart locker services and expanding into a cross-merchant coupon ecosystem, CPC establishes sustainable demand drivers that distinguish it from purely speculative digital assets. The dual-token architecture, deflationary mechanics, and phased implementation strategy provide a robust foundation for long-term ecosystem growth.</w:t>
      </w:r>
    </w:p>
    <w:p>
      <w:pPr>
        <w:spacing w:after="180" w:before="0" w:line="360"/>
        <w:jc w:val="both"/>
      </w:pPr>
      <w:r>
        <w:rPr>
          <w:rFonts w:ascii="Times New Roman" w:cs="Times New Roman" w:eastAsia="Times New Roman" w:hAnsi="Times New Roman"/>
          <w:b/>
          <w:bCs/>
          <w:sz w:val="24"/>
          <w:szCs w:val="24"/>
        </w:rPr>
        <w:t xml:space="preserve">The core thesis is straightforward: every locker interaction becomes a value-creation event, transforming mundane storage transactions into opportunities for earning, spending, and circulating digital value across an expanding merchant network.</w:t>
      </w:r>
    </w:p>
    <w:p>
      <w:r>
        <w:br w:type="page"/>
      </w:r>
    </w:p>
    <w:p>
      <w:pPr>
        <w:pStyle w:val="Heading1"/>
        <w:spacing w:after="200" w:before="400"/>
      </w:pPr>
      <w:r>
        <w:rPr>
          <w:rFonts w:ascii="Times New Roman" w:cs="Times New Roman" w:eastAsia="Times New Roman" w:hAnsi="Times New Roman"/>
          <w:b/>
          <w:bCs/>
          <w:sz w:val="32"/>
          <w:szCs w:val="32"/>
        </w:rPr>
        <w:t xml:space="preserve">References</w:t>
      </w:r>
    </w:p>
    <w:p>
      <w:pPr>
        <w:spacing w:after="180" w:before="0" w:line="360"/>
        <w:jc w:val="both"/>
      </w:pPr>
      <w:r>
        <w:rPr>
          <w:rFonts w:ascii="Times New Roman" w:cs="Times New Roman" w:eastAsia="Times New Roman" w:hAnsi="Times New Roman"/>
          <w:sz w:val="24"/>
          <w:szCs w:val="24"/>
        </w:rPr>
        <w:t xml:space="preserve">[1]  Deloitte. "Making Blockchain Real for Customer Loyalty Rewards Programs." Deloitte Insights, 2024.</w:t>
      </w:r>
    </w:p>
    <w:p>
      <w:pPr>
        <w:spacing w:after="180" w:before="0" w:line="360"/>
        <w:jc w:val="both"/>
      </w:pPr>
      <w:r>
        <w:rPr>
          <w:rFonts w:ascii="Times New Roman" w:cs="Times New Roman" w:eastAsia="Times New Roman" w:hAnsi="Times New Roman"/>
          <w:sz w:val="24"/>
          <w:szCs w:val="24"/>
        </w:rPr>
        <w:t xml:space="preserve">[2]  Nakamoto, S. "Bitcoin: A Peer-to-Peer Electronic Cash System." 2008.</w:t>
      </w:r>
    </w:p>
    <w:p>
      <w:pPr>
        <w:spacing w:after="180" w:before="0" w:line="360"/>
        <w:jc w:val="both"/>
      </w:pPr>
      <w:r>
        <w:rPr>
          <w:rFonts w:ascii="Times New Roman" w:cs="Times New Roman" w:eastAsia="Times New Roman" w:hAnsi="Times New Roman"/>
          <w:sz w:val="24"/>
          <w:szCs w:val="24"/>
        </w:rPr>
        <w:t xml:space="preserve">[3]  Buterin, V. "Ethereum White Paper." Ethereum Foundation, 2014.</w:t>
      </w:r>
    </w:p>
    <w:p>
      <w:pPr>
        <w:spacing w:after="180" w:before="0" w:line="360"/>
        <w:jc w:val="both"/>
      </w:pPr>
      <w:r>
        <w:rPr>
          <w:rFonts w:ascii="Times New Roman" w:cs="Times New Roman" w:eastAsia="Times New Roman" w:hAnsi="Times New Roman"/>
          <w:sz w:val="24"/>
          <w:szCs w:val="24"/>
        </w:rPr>
        <w:t xml:space="preserve">[4]  Yakovenko, A. "Solana: A New Architecture for a High Performance Blockchain." Solana Labs, 2018.</w:t>
      </w:r>
    </w:p>
    <w:p>
      <w:pPr>
        <w:spacing w:after="180" w:before="0" w:line="360"/>
        <w:jc w:val="both"/>
      </w:pPr>
      <w:r>
        <w:rPr>
          <w:rFonts w:ascii="Times New Roman" w:cs="Times New Roman" w:eastAsia="Times New Roman" w:hAnsi="Times New Roman"/>
          <w:sz w:val="24"/>
          <w:szCs w:val="24"/>
        </w:rPr>
        <w:t xml:space="preserve">[5]  Shi, Y. et al. "Ecoupon-Chain: Efficient decentralized e-coupon blockchain." Journal of King Saud University, 2023.</w:t>
      </w:r>
    </w:p>
    <w:p>
      <w:pPr>
        <w:spacing w:after="180" w:before="0" w:line="360"/>
        <w:jc w:val="both"/>
      </w:pPr>
      <w:r>
        <w:rPr>
          <w:rFonts w:ascii="Times New Roman" w:cs="Times New Roman" w:eastAsia="Times New Roman" w:hAnsi="Times New Roman"/>
          <w:sz w:val="24"/>
          <w:szCs w:val="24"/>
        </w:rPr>
        <w:t xml:space="preserve">[6]  Chen, Y. et al. "Analysis of the Optimal Application of Blockchain-Based Smart Lockers." MDPI Symmetry, 2021.</w:t>
      </w:r>
    </w:p>
    <w:p>
      <w:pPr>
        <w:spacing w:after="180" w:before="0" w:line="360"/>
        <w:jc w:val="both"/>
      </w:pPr>
      <w:r>
        <w:rPr>
          <w:rFonts w:ascii="Times New Roman" w:cs="Times New Roman" w:eastAsia="Times New Roman" w:hAnsi="Times New Roman"/>
          <w:sz w:val="24"/>
          <w:szCs w:val="24"/>
        </w:rPr>
        <w:t xml:space="preserve">[7]  IEEE. "Smart Cash-On-Delivery: Enhancing e-commerce transparency with smart contracts and parcel lockers." 2025.</w:t>
      </w:r>
    </w:p>
    <w:p>
      <w:pPr>
        <w:spacing w:after="180" w:before="0" w:line="360"/>
        <w:jc w:val="both"/>
      </w:pPr>
      <w:r>
        <w:rPr>
          <w:rFonts w:ascii="Times New Roman" w:cs="Times New Roman" w:eastAsia="Times New Roman" w:hAnsi="Times New Roman"/>
          <w:sz w:val="24"/>
          <w:szCs w:val="24"/>
        </w:rPr>
        <w:t xml:space="preserve">[8]  National Center for Health Statistics. U.S. Department of Health and Human Services, 2024.</w:t>
      </w:r>
    </w:p>
    <w:p>
      <w:pPr>
        <w:spacing w:after="180" w:before="0" w:line="360"/>
        <w:jc w:val="both"/>
      </w:pPr>
      <w:r>
        <w:rPr>
          <w:rFonts w:ascii="Times New Roman" w:cs="Times New Roman" w:eastAsia="Times New Roman" w:hAnsi="Times New Roman"/>
          <w:sz w:val="24"/>
          <w:szCs w:val="24"/>
        </w:rPr>
        <w:t xml:space="preserve">[9]  World Health Organization. "Ageing and Health" Fact Sheet, 2024.</w:t>
      </w:r>
    </w:p>
    <w:p>
      <w:pPr>
        <w:spacing w:after="180" w:before="0" w:line="360"/>
        <w:jc w:val="both"/>
      </w:pPr>
      <w:r>
        <w:rPr>
          <w:rFonts w:ascii="Times New Roman" w:cs="Times New Roman" w:eastAsia="Times New Roman" w:hAnsi="Times New Roman"/>
          <w:sz w:val="24"/>
          <w:szCs w:val="24"/>
        </w:rPr>
        <w:t xml:space="preserve">[10] Hong Kong SFC. "Statement on Security Token Offerings." Securities and Futures Commission, 2019.</w:t>
      </w:r>
    </w:p>
    <w:p>
      <w:pPr>
        <w:spacing w:after="200"/>
      </w:pPr>
    </w:p>
    <w:p>
      <w:pPr>
        <w:pStyle w:val="Heading1"/>
        <w:spacing w:after="200" w:before="400"/>
      </w:pPr>
      <w:r>
        <w:rPr>
          <w:rFonts w:ascii="Times New Roman" w:cs="Times New Roman" w:eastAsia="Times New Roman" w:hAnsi="Times New Roman"/>
          <w:b/>
          <w:bCs/>
          <w:sz w:val="32"/>
          <w:szCs w:val="32"/>
        </w:rPr>
        <w:t xml:space="preserve">Disclaimer</w:t>
      </w:r>
    </w:p>
    <w:p>
      <w:pPr>
        <w:spacing w:after="180" w:before="0" w:line="360"/>
        <w:jc w:val="both"/>
      </w:pPr>
      <w:r>
        <w:rPr>
          <w:rFonts w:ascii="Times New Roman" w:cs="Times New Roman" w:eastAsia="Times New Roman" w:hAnsi="Times New Roman"/>
          <w:color w:val="666666"/>
          <w:sz w:val="20"/>
          <w:szCs w:val="20"/>
        </w:rPr>
        <w:t xml:space="preserve">This white paper is provided for informational and discussion purposes only. It does not constitute an offer of securities, a solicitation of investment, or financial advice. CPC tokens are utility tokens and do not represent equity, debt, or any claim to profits. Prospective participants should conduct independent due diligence and consult qualified legal and financial advisors before engaging with the Coupon Coin ecosystem. Regulatory requirements vary by jurisdiction; compliance with local laws is the sole responsibility of each participant.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8"/>
        <w:szCs w:val="18"/>
      </w:rPr>
      <w:t xml:space="preserve">Page </w:t>
    </w:r>
    <w:r>
      <w:rPr>
        <w:rFonts w:ascii="Times New Roman" w:cs="Times New Roman" w:eastAsia="Times New Roman" w:hAnsi="Times New Roman"/>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60"/>
      <w:jc w:val="right"/>
    </w:pPr>
    <w:r>
      <w:rPr>
        <w:rFonts w:ascii="Times New Roman" w:cs="Times New Roman" w:eastAsia="Times New Roman" w:hAnsi="Times New Roman"/>
        <w:i/>
        <w:iCs/>
        <w:color w:val="999999"/>
        <w:sz w:val="18"/>
        <w:szCs w:val="18"/>
      </w:rPr>
      <w:t xml:space="preserve">Coupon Coin White Paper v1.0  |  Y Carry Limited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B2A4A"/>
      <w:sz w:val="32"/>
      <w:szCs w:val="32"/>
    </w:rPr>
  </w:style>
  <w:style w:type="paragraph" w:styleId="Heading2">
    <w:name w:val="Heading 2"/>
    <w:basedOn w:val="Normal"/>
    <w:next w:val="Normal"/>
    <w:qFormat/>
    <w:pPr>
      <w:spacing w:after="180" w:before="300"/>
      <w:outlineLvl w:val="1"/>
    </w:pPr>
    <w:rPr>
      <w:rFonts w:ascii="Times New Roman" w:cs="Times New Roman" w:eastAsia="Times New Roman" w:hAnsi="Times New Roman"/>
      <w:b/>
      <w:bCs/>
      <w:color w:val="2E5090"/>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3A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2026-04-07T02:11:23.212Z</dcterms:created>
  <dcterms:modified xsi:type="dcterms:W3CDTF">2026-04-07T02:11:23.221Z</dcterms:modified>
</cp:coreProperties>
</file>

<file path=docProps/custom.xml><?xml version="1.0" encoding="utf-8"?>
<Properties xmlns="http://schemas.openxmlformats.org/officeDocument/2006/custom-properties" xmlns:vt="http://schemas.openxmlformats.org/officeDocument/2006/docPropsVTypes"/>
</file>