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：光伏为预测值且可被储能完全消纳，平衡约束取等式即可；重点在于刻画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附录一给出往返效率</w:t>
            </w:r>
            <w:r>
              <w:t xml:space="preserve"> </w:t>
            </w:r>
            <w:r>
              <w:rPr>
                <w:rFonts w:hint="eastAsia"/>
              </w:rPr>
              <w:t xml:space="preserve">90%，往返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全年购电费构成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问题二全年购电费构成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微网在指定日期的紧急购电量（鲁棒方案）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：由于下调无收益、上调的收益来自预报精度提升，而光伏预报在</w:t>
      </w:r>
      <w:r>
        <w:t xml:space="preserve"> 0–12 </w:t>
      </w:r>
      <w:r>
        <w:rPr>
          <w:rFonts w:hint="eastAsia"/>
        </w:rPr>
        <w:t xml:space="preserve">时更新最快、午后趋于稳定，故</w:t>
      </w:r>
      <w:r>
        <w:t xml:space="preserve"> 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四个时点已基本覆盖主要信息增量</w:t>
      </w:r>
      <w:r>
        <w:rPr>
          <w:rFonts w:hint="eastAsia"/>
        </w:rPr>
        <w:t xml:space="preserve">，进一步加密时点边际收益递减。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72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3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73"/>
    <w:bookmarkStart w:id="74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74"/>
    <w:bookmarkStart w:id="75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77"/>
    <w:bookmarkStart w:id="78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问题二全年费用构成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</w:tbl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2026-09-11T10:28:43Z</dcterms:created>
  <dcterms:modified xsi:type="dcterms:W3CDTF">2026-09-11T10:28:43Z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