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68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储能容量极小）与储能容量、效率、紧急购电价倍数的灵敏度分析验证了模型的鲁棒性——总费随容量与效率单调下降、随倍数线性上升，最优调度结构对参数扰动不敏感；并将</w:t>
      </w:r>
      <w:r>
        <w:t xml:space="preserve"> 2025 </w:t>
      </w:r>
      <w:r>
        <w:rPr>
          <w:rFonts w:hint="eastAsia"/>
        </w:rPr>
        <w:t xml:space="preserve">年数据作为典型年平铺多年建立长期运行模型，发现储能自然稳态的年初/年末电量约为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6000），与”首末</w:t>
      </w:r>
      <w:r>
        <w:t xml:space="preserve"> </w:t>
      </w:r>
      <w:r>
        <w:rPr>
          <w:rFonts w:hint="eastAsia"/>
        </w:rPr>
        <w:t xml:space="preserve">6000”的年均成本差异仅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7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购电费构成（2025年2–12月逐月）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问题二购电费构成（2025年2–12月逐月）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143.8937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63050.0399</w:t>
            </w:r>
          </w:p>
        </w:tc>
        <w:tc>
          <w:tcPr/>
          <w:p>
            <w:pPr>
              <w:pStyle w:val="Compact"/>
            </w:pPr>
            <w:r>
              <w:t xml:space="preserve">41604.9671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94670.2693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1964.4464</w:t>
            </w:r>
          </w:p>
        </w:tc>
        <w:tc>
          <w:tcPr/>
          <w:p>
            <w:pPr>
              <w:pStyle w:val="Compact"/>
            </w:pPr>
            <w:r>
              <w:t xml:space="preserve">486.7506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905.6702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3959.7298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9553.6374</w:t>
            </w:r>
          </w:p>
        </w:tc>
        <w:tc>
          <w:tcPr/>
          <w:p>
            <w:pPr>
              <w:pStyle w:val="Compact"/>
            </w:pPr>
            <w:r>
              <w:t xml:space="preserve">9206.3599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8792.2257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227.4134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2154.1824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8945.1216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22:00）对光伏预报无实质增益（夜晚无光伏可预报），边际收益为零，故</w:t>
      </w:r>
      <w:r>
        <w:rPr>
          <w:rFonts w:hint="eastAsia"/>
          <w:b/>
          <w:bCs/>
        </w:rPr>
        <w:t xml:space="preserve">无需引入其他时刻预报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50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50"/>
    <w:bookmarkStart w:id="54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4693920" cy="2963899"/>
            <wp:effectExtent b="0" l="0" r="0" t="0"/>
            <wp:docPr descr="图7 多年度长期运行" title="" id="52" name="Picture"/>
            <a:graphic>
              <a:graphicData uri="http://schemas.openxmlformats.org/drawingml/2006/picture">
                <pic:pic>
                  <pic:nvPicPr>
                    <pic:cNvPr descr="figures/fig_多年度长期运行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63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54"/>
    <w:bookmarkStart w:id="55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72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bookmarkStart w:id="67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9" name="Picture"/>
            <a:graphic>
              <a:graphicData uri="http://schemas.openxmlformats.org/drawingml/2006/picture">
                <pic:pic>
                  <pic:nvPicPr>
                    <pic:cNvPr descr="figures/fig_testA_光伏为零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62" name="Picture"/>
            <a:graphic>
              <a:graphicData uri="http://schemas.openxmlformats.org/drawingml/2006/picture">
                <pic:pic>
                  <pic:nvPicPr>
                    <pic:cNvPr descr="figures/fig_testB_负载为零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65" name="Picture"/>
            <a:graphic>
              <a:graphicData uri="http://schemas.openxmlformats.org/drawingml/2006/picture">
                <pic:pic>
                  <pic:nvPicPr>
                    <pic:cNvPr descr="figures/fig_testC_储能极小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bookmarkEnd w:id="67"/>
    <w:bookmarkStart w:id="71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4907280" cy="1474601"/>
            <wp:effectExtent b="0" l="0" r="0" t="0"/>
            <wp:docPr descr="图S 灵敏度分析" title="" id="69" name="Picture"/>
            <a:graphic>
              <a:graphicData uri="http://schemas.openxmlformats.org/drawingml/2006/picture">
                <pic:pic>
                  <pic:nvPicPr>
                    <pic:cNvPr descr="figures/fig_sensitiv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47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73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73"/>
    <w:bookmarkStart w:id="74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74"/>
    <w:bookmarkStart w:id="75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77"/>
    <w:bookmarkStart w:id="78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问题二购电费构成（2–12月）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t xml:space="preserve">§5.5 </w:t>
            </w:r>
            <w:r>
              <w:rPr>
                <w:rFonts w:hint="eastAsia"/>
              </w:rPr>
              <w:t xml:space="preserve">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</w:tbl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黑体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黑体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黑体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黑体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黑体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黑体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黑体" w:hAnsi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黑体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黑体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黑体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黑体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黑体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黑体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黑体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黑体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黑体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黑体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黑体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黑体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黑体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黑体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黑体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黑体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68" Target="media/rId68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2026-09-11T12:37:42Z</dcterms:created>
  <dcterms:modified xsi:type="dcterms:W3CDTF">2026-09-11T12:37:42Z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