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  <Override PartName="/word/media/rId80.png" ContentType="image/png"/>
  <Override PartName="/word/media/rId83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），从长期视角验证了单年边界设定的合理性。进一步，消融分析量化了各环节的经济贡献——储能价值约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16.35</m:t>
        </m:r>
      </m:oMath>
      <w:r>
        <w:t xml:space="preserve"> </w:t>
      </w:r>
      <w:r>
        <w:rPr>
          <w:rFonts w:hint="eastAsia"/>
        </w:rPr>
        <w:t xml:space="preserve">万元；并发现紧急购电几乎只与预报的”高估”（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）相关；对偶影子价格分析则从最优解内部提炼出储能”水值”（储电量边际价值），验证充电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t xml:space="preserve"> </w:t>
      </w:r>
      <w:r>
        <w:rPr>
          <w:rFonts w:hint="eastAsia"/>
        </w:rPr>
        <w:t xml:space="preserve">的峰谷套利门槛，并把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：线性规划；储能调度；滚动时域优化；光伏预测误差；对偶/影子价格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87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71"/>
    <w:bookmarkStart w:id="75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2238.04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765.52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时滚动调整，再省</w:t>
      </w:r>
      <w:r>
        <w:t xml:space="preserve"> </w:t>
      </w:r>
      <w:r>
        <w:rPr>
          <w:b/>
          <w:bCs/>
        </w:rPr>
        <w:t xml:space="preserve">16.35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4693920" cy="2535767"/>
            <wp:effectExtent b="0" l="0" r="0" t="0"/>
            <wp:docPr descr="图8 消融分析与贡献分解" title="" id="73" name="Picture"/>
            <a:graphic>
              <a:graphicData uri="http://schemas.openxmlformats.org/drawingml/2006/picture">
                <pic:pic>
                  <pic:nvPicPr>
                    <pic:cNvPr descr="figures/fig_消融贡献分解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3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75"/>
    <w:bookmarkStart w:id="79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4907280" cy="1927551"/>
            <wp:effectExtent b="0" l="0" r="0" t="0"/>
            <wp:docPr descr="图9 光伏预报误差与紧急购电的关联" title="" id="77" name="Picture"/>
            <a:graphic>
              <a:graphicData uri="http://schemas.openxmlformats.org/drawingml/2006/picture">
                <pic:pic>
                  <pic:nvPicPr>
                    <pic:cNvPr descr="figures/fig_误差与紧急购电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2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79"/>
    <w:bookmarkStart w:id="86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SOC </w:t>
      </w:r>
      <w:r>
        <w:rPr>
          <w:rFonts w:hint="eastAsia"/>
        </w:rPr>
        <w:t xml:space="preserve">负相关——SOC</w:t>
      </w:r>
      <w:r>
        <w:t xml:space="preserve"> </w:t>
      </w:r>
      <w:r>
        <w:rPr>
          <w:rFonts w:hint="eastAsia"/>
        </w:rPr>
        <w:t xml:space="preserve">触底（电量稀缺）时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高、SOC</w:t>
      </w:r>
      <w:r>
        <w:t xml:space="preserve"> </w:t>
      </w:r>
      <w:r>
        <w:rPr>
          <w:rFonts w:hint="eastAsia"/>
        </w:rPr>
        <w:t xml:space="preserve">触顶（电量富余）时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81" name="Picture"/>
            <a:graphic>
              <a:graphicData uri="http://schemas.openxmlformats.org/drawingml/2006/picture">
                <pic:pic>
                  <pic:nvPicPr>
                    <pic:cNvPr descr="figures/fig_影子价格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84" name="Picture"/>
            <a:graphic>
              <a:graphicData uri="http://schemas.openxmlformats.org/drawingml/2006/picture">
                <pic:pic>
                  <pic:nvPicPr>
                    <pic:cNvPr descr="figures/fig_影子价格_套利统计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88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88"/>
    <w:bookmarkStart w:id="89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MPC。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89"/>
    <w:bookmarkStart w:id="90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92"/>
    <w:bookmarkStart w:id="93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</w:t>
            </w:r>
            <w:r>
              <w:t xml:space="preserve"> + </w:t>
            </w:r>
            <w:r>
              <w:rPr>
                <w:rFonts w:hint="eastAsia"/>
              </w:rPr>
              <w:t xml:space="preserve">储能水值机理分析（KKT</w:t>
            </w:r>
            <w:r>
              <w:t xml:space="preserve"> </w:t>
            </w:r>
            <w:r>
              <w:rPr>
                <w:rFonts w:hint="eastAsia"/>
              </w:rPr>
              <w:t xml:space="preserve">校验、套利门槛、价值对账、容量灵敏度），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、[图10]、[图11]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对偶影子价格与储能套利机理（代表性一天）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</w:tbl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72" Target="media/rId72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2026-09-12T04:00:42Z</dcterms:created>
  <dcterms:modified xsi:type="dcterms:W3CDTF">2026-09-12T04:00:42Z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