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D70AE"/>
          <w:sz w:val="40"/>
        </w:rPr>
        <w:t>知行日课 · AI 学习伙伴 — 最小功能拆分文档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F13 做笔记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功能编号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F13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M07 原文笔记与删除闭环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关联页面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U29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依赖功能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F11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产品版本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R1 · 需求 V3.0 最终版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数据库版本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V3.0 · MySQL 5.7.25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1. 功能概述</w:t>
      </w:r>
    </w:p>
    <w:p>
      <w:r>
        <w:rPr>
          <w:rFonts w:ascii="微软雅黑" w:hAnsi="微软雅黑" w:eastAsia="微软雅黑"/>
          <w:b w:val="0"/>
          <w:sz w:val="21"/>
        </w:rPr>
        <w:t>做笔记页（U29）从原文/问题卡详情进入，创建或更新本人独立笔记；来源原文只读引用（以浅蓝只读区展示），新增笔记区用柔和暖色区分，不更新原文。</w:t>
      </w:r>
    </w:p>
    <w:p>
      <w:r>
        <w:rPr>
          <w:rFonts w:ascii="微软雅黑" w:hAnsi="微软雅黑" w:eastAsia="微软雅黑"/>
          <w:b/>
          <w:sz w:val="21"/>
        </w:rPr>
        <w:t>核心规则：</w:t>
      </w:r>
    </w:p>
    <w:p>
      <w:r>
        <w:rPr>
          <w:rFonts w:ascii="微软雅黑" w:hAnsi="微软雅黑" w:eastAsia="微软雅黑"/>
          <w:b w:val="0"/>
          <w:sz w:val="20"/>
        </w:rPr>
        <w:t>• "做笔记"创建独立本人知识，来源原文只读。</w:t>
      </w:r>
    </w:p>
    <w:p>
      <w:r>
        <w:rPr>
          <w:rFonts w:ascii="微软雅黑" w:hAnsi="微软雅黑" w:eastAsia="微软雅黑"/>
          <w:b w:val="0"/>
          <w:sz w:val="20"/>
        </w:rPr>
        <w:t>• 新增笔记区用柔和暖色区分，不更新原文。</w:t>
      </w:r>
    </w:p>
    <w:p>
      <w:r>
        <w:rPr>
          <w:rFonts w:ascii="微软雅黑" w:hAnsi="微软雅黑" w:eastAsia="微软雅黑"/>
          <w:b w:val="0"/>
          <w:sz w:val="20"/>
        </w:rPr>
        <w:t>• 原文引用以浅蓝只读区展示。</w:t>
      </w:r>
    </w:p>
    <w:p>
      <w:r>
        <w:rPr>
          <w:rFonts w:ascii="微软雅黑" w:hAnsi="微软雅黑" w:eastAsia="微软雅黑"/>
          <w:b w:val="0"/>
          <w:sz w:val="20"/>
        </w:rPr>
        <w:t>• 标题1—100字符，正式内容1—10000字符，均必填。</w:t>
      </w:r>
    </w:p>
    <w:p>
      <w:r>
        <w:rPr>
          <w:rFonts w:ascii="微软雅黑" w:hAnsi="微软雅黑" w:eastAsia="微软雅黑"/>
          <w:b w:val="0"/>
          <w:sz w:val="20"/>
        </w:rPr>
        <w:t>• 标签最多10个、每个≤20字符，去重。</w:t>
      </w:r>
    </w:p>
    <w:p>
      <w:r>
        <w:rPr>
          <w:rFonts w:ascii="微软雅黑" w:hAnsi="微软雅黑" w:eastAsia="微软雅黑"/>
          <w:b w:val="0"/>
          <w:sz w:val="20"/>
        </w:rPr>
        <w:t>• 内容与共享范围在同一次正式保存中生效，保存失败不得先暴露授权。</w:t>
      </w:r>
    </w:p>
    <w:p>
      <w:pPr>
        <w:pStyle w:val="Heading1"/>
      </w:pPr>
      <w:r>
        <w:rPr>
          <w:rFonts w:ascii="微软雅黑" w:hAnsi="微软雅黑" w:eastAsia="微软雅黑"/>
        </w:rPr>
        <w:t>2. 字段与输入约束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标题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1—100字符，必填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笔记正文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1—10000字符，必填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标签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最多10个，每个≤20字符，去重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可见范围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private/friends/selected，缺省private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原文引用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只读展示，绑定原知识ID/版本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3. 业务流程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来源页面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点击 / 条件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去向与处理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U08/内容详情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做笔记入口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进入U29，绑定原知识ID/版本；不修改原文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U29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标题／笔记正文／标签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编辑个人草稿；原文引用以浅蓝只读区展示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U29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保存笔记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创建或更新本人独立笔记；返回来源详情并刷新笔记摘要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本人笔记详情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编辑／AI整理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编辑复用U29/U34；整理进入U17，action=organize_note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4. 数据库设计</w:t>
      </w:r>
    </w:p>
    <w:p>
      <w:pPr>
        <w:pStyle w:val="Heading2"/>
      </w:pPr>
      <w:r>
        <w:rPr>
          <w:rFonts w:ascii="微软雅黑" w:hAnsi="微软雅黑" w:eastAsia="微软雅黑"/>
        </w:rPr>
        <w:t>4.1 knowledge_item — 个人知识条目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item_type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note / problem / content_ref / word / ai_note。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标题。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body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当前正文，最多 10000 字符。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problem_json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问题卡：phenomenon、environment、cause、solution、verification；每项最多 2000，合计最多 10000 字符。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search_text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MEDIUMTEXT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正文、问题字段及错误码的规范化搜索文本；仅当前用户内 LIKE 查询，不设置全文索引。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learning_status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unlearned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unlearned / learning / understood / mastered。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verification_status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unverified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unverified / verified / partial / invalid；AI 提取默认 unverified。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last_verified_date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最后主动验证日期；verified/partial 须有验证说明。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mastered_at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最近一次用户自评掌握时间。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reuse_count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用户主动记录的成功复用次数；不以访问次数推断。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last_reused_at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最近一次主动标记成功复用时间。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source_content_id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公开内容来源；独立笔记为空。 逻辑关联 learning_content.id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source_content_version_id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引用内容版本，不复制公开全文。 逻辑关联 content_version.id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source_journal_id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复盘来源；删除来源时清理。 逻辑关联 daily_journal.id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source_journal_revision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提取所依据的复盘版本。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source_ai_job_id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AI 采纳来源；只做来源标记，不依赖临时 AI 正文长期存在。 逻辑关联 ai_job.id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bookmark_content_id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有效收藏对应内容；取消收藏清空并保留自写笔记。 逻辑关联 learning_content.id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word_key_hash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生词本规范词键；仅 word 非空。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乐观锁及历史修订序号。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visibility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private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private仅自己；friends所有当前好友含未来新增；selected指定好友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active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draft草稿；active有效；deleted不可访问并进入清理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note_parent_id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做笔记时关联原知识；只读引用，正文独立保存；原文删除后不扩大访问 逻辑关联 knowledge_item.id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(`owner_id`, `bookmark_content_id`) COMMENT '同用户有效收藏唯一；NULL 可多条'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`uk_2` (`owner_id`, `word_key_hash`) COMMENT '同用户生词唯一；NULL 可多条'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`idx_3` (`owner_id`, `item_type`, `updated_at`) COMMENT '知识列表筛选'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`idx_4` (`source_journal_id`) COMMENT '源复盘删除和变更定位'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`idx_5` (`source_content_id`) COMMENT '公开内容下架引用定位'</w:t>
      </w:r>
    </w:p>
    <w:p>
      <w:pPr>
        <w:pStyle w:val="Heading2"/>
      </w:pPr>
      <w:r>
        <w:rPr>
          <w:rFonts w:ascii="微软雅黑" w:hAnsi="微软雅黑" w:eastAsia="微软雅黑"/>
        </w:rPr>
        <w:t>4.2 knowledge_revision — 知识修订快照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knowledge_id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知识条目。 逻辑关联 knowledge_item.id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修订号。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snapshot_json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与当前知识字段同语义的完整快照，包括 tags 数组。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change_kind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 / edit / feedback / verify / accept_ai / detach_source。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(`knowledge_id`, `revision_no`) COMMENT '修订唯一'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(`owner_id`) COMMENT '账号删除定位'</w:t>
      </w:r>
    </w:p>
    <w:p>
      <w:pPr>
        <w:pStyle w:val="Heading1"/>
      </w:pPr>
      <w:r>
        <w:rPr>
          <w:rFonts w:ascii="微软雅黑" w:hAnsi="微软雅黑" w:eastAsia="微软雅黑"/>
        </w:rPr>
        <w:t>5. UI 设计图</w:t>
      </w:r>
    </w:p>
    <w:p>
      <w:r>
        <w:drawing>
          <wp:inline xmlns:a="http://schemas.openxmlformats.org/drawingml/2006/main" xmlns:pic="http://schemas.openxmlformats.org/drawingml/2006/picture">
            <wp:extent cx="2592000" cy="61242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做笔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6124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U29：做笔记</w:t>
      </w:r>
    </w:p>
    <w:p>
      <w:pPr>
        <w:pStyle w:val="Heading1"/>
      </w:pPr>
      <w:r>
        <w:rPr>
          <w:rFonts w:ascii="微软雅黑" w:hAnsi="微软雅黑" w:eastAsia="微软雅黑"/>
        </w:rPr>
        <w:t>6. 开发边界与验收</w:t>
      </w:r>
    </w:p>
    <w:p>
      <w:r>
        <w:rPr>
          <w:rFonts w:ascii="微软雅黑" w:hAnsi="微软雅黑" w:eastAsia="微软雅黑"/>
          <w:b/>
          <w:sz w:val="21"/>
        </w:rPr>
        <w:t>验收要点：</w:t>
      </w:r>
    </w:p>
    <w:p>
      <w:r>
        <w:rPr>
          <w:rFonts w:ascii="微软雅黑" w:hAnsi="微软雅黑" w:eastAsia="微软雅黑"/>
          <w:b w:val="0"/>
          <w:sz w:val="20"/>
        </w:rPr>
        <w:t>• A10：标题内容必填；做笔记不修改原文；标签去重。</w:t>
      </w:r>
    </w:p>
    <w:p>
      <w:r>
        <w:rPr>
          <w:rFonts w:ascii="微软雅黑" w:hAnsi="微软雅黑" w:eastAsia="微软雅黑"/>
          <w:b w:val="0"/>
          <w:sz w:val="20"/>
        </w:rPr>
        <w:t>• A08：取消收藏只取消引用，不连带删除独立笔记。</w:t>
      </w:r>
    </w:p>
    <w:p>
      <w:r>
        <w:rPr>
          <w:rFonts w:ascii="微软雅黑" w:hAnsi="微软雅黑" w:eastAsia="微软雅黑"/>
          <w:b w:val="0"/>
          <w:sz w:val="20"/>
        </w:rPr>
        <w:t>• 保存后返回来源详情并刷新笔记摘要。</w:t>
      </w:r>
    </w:p>
    <w:p>
      <w:r>
        <w:rPr>
          <w:rFonts w:ascii="微软雅黑" w:hAnsi="微软雅黑" w:eastAsia="微软雅黑"/>
          <w:b/>
          <w:sz w:val="21"/>
        </w:rPr>
        <w:t>开发边界：</w:t>
      </w:r>
    </w:p>
    <w:p>
      <w:r>
        <w:rPr>
          <w:rFonts w:ascii="微软雅黑" w:hAnsi="微软雅黑" w:eastAsia="微软雅黑"/>
          <w:b w:val="0"/>
          <w:sz w:val="20"/>
        </w:rPr>
        <w:t>• 取消收藏不删除独立个人笔记（手写笔记）。</w:t>
      </w:r>
    </w:p>
    <w:p>
      <w:r>
        <w:rPr>
          <w:rFonts w:ascii="微软雅黑" w:hAnsi="微软雅黑" w:eastAsia="微软雅黑"/>
          <w:b w:val="0"/>
          <w:sz w:val="20"/>
        </w:rPr>
        <w:t>• 原文知识与个人笔记分别存储。</w:t>
      </w:r>
    </w:p>
    <w:p>
      <w:r>
        <w:rPr>
          <w:rFonts w:ascii="微软雅黑" w:hAnsi="微软雅黑" w:eastAsia="微软雅黑"/>
          <w:b w:val="0"/>
          <w:sz w:val="20"/>
        </w:rPr>
        <w:t>• 内容与共享范围在同一次正式保存中生效，保存失败不得先暴露授权。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———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本文档由 AI 助手整理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模型：deepseek-v4-pro（provider: deepseek）</w:t>
      </w:r>
    </w:p>
    <w:p>
      <w:r>
        <w:br w:type="page"/>
      </w:r>
    </w:p>
    <w:p>
      <w:pPr>
        <w:pStyle w:val="Heading1"/>
      </w:pPr>
      <w:r>
        <w:t>项目接入上下文</w:t>
      </w:r>
    </w:p>
    <w:p>
      <w:r>
        <w:t>本项目由微信小程序、Java 后端、Web 管理端和 MySQL 数据库组成。本功能文档描述本模块的业务实现；开发时按下表确定代码位置、调用方式和职责边界。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技术与工具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通用职责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原生微信小程序；使用微信开发者工具开发、调试和预览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实现用户页面、交互、表单校验和后端接口调用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Java 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前后端分离服务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执行业务规则、权限校验、事务和接口数据组装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Web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独立 Web 页面；通过后端管理接口工作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实现本模块涉及的运营、内容、用户或运行管理能力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MySQL 5.7.25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保存本功能文档列出的表、索引、状态和审计数据</w:t>
            </w:r>
          </w:p>
        </w:tc>
      </w:tr>
    </w:tbl>
    <w:p/>
    <w:p>
      <w:pPr>
        <w:pStyle w:val="Heading2"/>
      </w:pPr>
      <w:r>
        <w:t>跨端实现规则</w:t>
      </w:r>
    </w:p>
    <w:p>
      <w:r>
        <w:t>小程序和管理端均不得直接访问数据库，所有读写通过后端接口完成。小程序侧仅保留展示和交互所需状态；用户归属、权限、并发控制、幂等、版本校验及敏感数据过滤统一由后端执行。管理端仅开放本模块明确列出的管理员能力。</w:t>
      </w:r>
    </w:p>
    <w:p>
      <w:r>
        <w:br w:type="page"/>
      </w:r>
    </w:p>
    <w:p>
      <w:pPr>
        <w:pStyle w:val="Heading1"/>
      </w:pPr>
      <w:r>
        <w:t>补充 技术基线和接口实现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采用技术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实现约束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原生小程序，微信开发者工具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WXML、WXSS、JS、JSON；仅调用后端接口，不直接访问数据库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Java 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统一处理认证、权限、事务、幂等和业务规则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Vue 前后端分离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仅通过 Spring Boot 管理接口访问业务数据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使用本功能文档的表、索引和版本校验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缓存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仅缓存可失效的读取结果和短期状态；不可替代数据库事实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文件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OSS 对象存储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文件经后端授权上传和短时访问，数据库只保存受控引用</w:t>
            </w:r>
          </w:p>
        </w:tc>
      </w:tr>
    </w:tbl>
    <w:p/>
    <w:p>
      <w:pPr>
        <w:pStyle w:val="Heading2"/>
      </w:pPr>
      <w:r>
        <w:t>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/notes 新建笔记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/notes/{id} 获取笔记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/notes/{id} 更新笔记</w:t>
            </w:r>
          </w:p>
        </w:tc>
      </w:tr>
    </w:tbl>
    <w:p/>
    <w:p>
      <w:r>
        <w:t>处理规则：笔记创建新知识对象，不修改来源原文；附件必须先通过文件服务授权。</w:t>
      </w:r>
    </w:p>
    <w:p>
      <w:pPr>
        <w:pStyle w:val="Heading2"/>
      </w:pPr>
      <w:r>
        <w:t>验收目标和预期结果</w:t>
      </w:r>
    </w:p>
    <w:p>
      <w:r>
        <w:t>验收目标：开发者只依赖本模块文档即可在微信小程序端、Spring Boot 后端和必要的 Vue 管理端完成联调；数据写入 MySQL，缓存和文件访问遵循 Redis 与 OSS 的边界。</w:t>
      </w:r>
    </w:p>
    <w:p>
      <w:r>
        <w:t>预期结果：来源引用正确；保存与修订可追溯；无授权图片不可关联。</w:t>
      </w:r>
    </w:p>
    <w:p>
      <w:r>
        <w:br w:type="page"/>
      </w:r>
    </w:p>
    <w:p>
      <w:pPr>
        <w:pStyle w:val="Heading1"/>
      </w:pPr>
      <w:r>
        <w:t>开发前置配置清单</w:t>
      </w:r>
    </w:p>
    <w:p>
      <w:r>
        <w:t>开始开发或部署本模块前，准备以下配置项。真实密码、密钥和令牌不得写入本 Word、聊天记录或 Git 仓库；仅保存到本地环境变量、配置中心或密钥管理服务。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需要准备的配置项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AppID；AppSecret；合法 HTTPS 域名；测试微信账号；隐私协议版本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微信开发者工具编译、真机调试和后端身份验证。AppSecret 仅后端保存。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API 域名；服务端端口；运行环境；会话签名密钥；跨域白名单；管理员初始化账号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启动 Java 后端，区分本地、测试与生产环境。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主机；端口；库名；应用账号；密码；utf8mb4；初始化 SQL；备份策略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连接和初始化业务数据。应用账号仅授予所需权限。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主机；端口；密码；库编号；TLS；缓存前缀与过期时间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缓存短期读取结果、限流和临时状态，不替代 MySQL 事实。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OSS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云厂商；地域；Endpoint；Bucket；访问密钥；上传目录；文件限制；访问策略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受控上传头像、图片、附件和作品；推荐短时访问链接。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Vue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管理端域名；后端 API 地址；构建环境变量；管理员测试账号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前后端分离的管理页面联调与部署。</w:t>
            </w:r>
          </w:p>
        </w:tc>
      </w:tr>
    </w:tbl>
    <w:p/>
    <w:p>
      <w:pPr>
        <w:pStyle w:val="Heading2"/>
      </w:pPr>
      <w:r>
        <w:t>本模块上线前最小验证</w:t>
      </w:r>
    </w:p>
    <w:p>
      <w:r>
        <w:t>至少准备一套独立测试环境：测试小程序账号、测试数据库、测试 Redis、测试 OSS Bucket、管理员账号、两个普通测试用户和三条测试邀请码。使用测试环境验证本模块接口、权限和文件访问，再配置生产环境。</w:t>
      </w:r>
    </w:p>
    <w:p>
      <w:pPr>
        <w:pStyle w:val="Heading2"/>
      </w:pPr>
      <w:r>
        <w:t>密钥管理规则</w:t>
      </w:r>
    </w:p>
    <w:p>
      <w:r>
        <w:t>仅在服务端保存 AppSecret、数据库密码、Redis 密码、OSS 访问密钥和会话签名密钥。小程序和 Vue 管理端只保存公开配置，例如 API 地址和 AppID。密钥如发生泄露，立即在对应平台轮换，并使旧密钥失效。</w:t>
      </w:r>
    </w:p>
    <w:p>
      <w:pPr>
        <w:pStyle w:val="Heading2"/>
      </w:pPr>
      <w:r>
        <w:t>本地开发与上线域名</w:t>
      </w:r>
    </w:p>
    <w:p>
      <w:r>
        <w:t>本地联调阶段可在微信开发者工具临时开启“不校验请求域名、TLS 版本及 HTTPS 证书”，使用本地后端地址完成开发；此设置仅用于调试。进行正常真机使用、体验版或正式发布前，必须配置有效 HTTPS 合法域名，并将 API、OSS 上传和下载所使用的域名纳入小程序后台配置。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