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F16 下周行动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M09 成长周总结与下周行动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U12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下周行动页（U12）从周总结页安排进入，最多3项；填写标题、日期、预计时长，校验预算与非活动日确认，幂等创建目标日计划任务，返回U11并更新目标日计划。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下周行动最多3项。</w:t>
      </w:r>
    </w:p>
    <w:p>
      <w:r>
        <w:rPr>
          <w:rFonts w:ascii="微软雅黑" w:hAnsi="微软雅黑" w:eastAsia="微软雅黑"/>
          <w:b w:val="0"/>
          <w:sz w:val="20"/>
        </w:rPr>
        <w:t>• 行动标题1—100字符、备注≤1000、时长1—30分钟。</w:t>
      </w:r>
    </w:p>
    <w:p>
      <w:r>
        <w:rPr>
          <w:rFonts w:ascii="微软雅黑" w:hAnsi="微软雅黑" w:eastAsia="微软雅黑"/>
          <w:b w:val="0"/>
          <w:sz w:val="20"/>
        </w:rPr>
        <w:t>• 日期限定在来源周的下一自然周内。</w:t>
      </w:r>
    </w:p>
    <w:p>
      <w:r>
        <w:rPr>
          <w:rFonts w:ascii="微软雅黑" w:hAnsi="微软雅黑" w:eastAsia="微软雅黑"/>
          <w:b w:val="0"/>
          <w:sz w:val="20"/>
        </w:rPr>
        <w:t>• 过期不能自动顺延。</w:t>
      </w:r>
    </w:p>
    <w:p>
      <w:r>
        <w:rPr>
          <w:rFonts w:ascii="微软雅黑" w:hAnsi="微软雅黑" w:eastAsia="微软雅黑"/>
          <w:b w:val="0"/>
          <w:sz w:val="20"/>
        </w:rPr>
        <w:t>• 超预算先调整，不能挤掉已开始或已完成任务。</w:t>
      </w:r>
    </w:p>
    <w:p>
      <w:r>
        <w:rPr>
          <w:rFonts w:ascii="微软雅黑" w:hAnsi="微软雅黑" w:eastAsia="微软雅黑"/>
          <w:b w:val="0"/>
          <w:sz w:val="20"/>
        </w:rPr>
        <w:t>• 非活动日安排需显式确认临时学习。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1—100字符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备注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≤1000字符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预计时长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1—30分钟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目标日期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来源周的下一自然周内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安排行动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进入U12，最多3项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U12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新增行动／行动卡片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打开S03行动表单，填写标题、日期、预计时长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U12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确认加入目标日期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校验预算及非活动日确认；幂等创建任务，返回U11并更新目标日计划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weekly_action — 下周行动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来源周总结。 逻辑关联 weekly_summary.id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周内槽位 1—3；删除后复用槽位及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行动标题。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行动说明。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scheduled_date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安排日期；北京时间。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estimated_minutes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预计 1—30 分钟。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/ confirmed / cancelled。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confirmed_at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(`summary_id`, `action_no`) COMMENT '每周行动槽位唯一，范围由应用校验'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`scheduled_date`, `state`) COMMENT '编排当日行动'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261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行动编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26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U12：行动编辑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A12：最多3项，预算/日期校验生效。</w:t>
      </w:r>
    </w:p>
    <w:p>
      <w:r>
        <w:rPr>
          <w:rFonts w:ascii="微软雅黑" w:hAnsi="微软雅黑" w:eastAsia="微软雅黑"/>
          <w:b w:val="0"/>
          <w:sz w:val="20"/>
        </w:rPr>
        <w:t>• 超预算先调整再确认。</w:t>
      </w:r>
    </w:p>
    <w:p>
      <w:r>
        <w:rPr>
          <w:rFonts w:ascii="微软雅黑" w:hAnsi="微软雅黑" w:eastAsia="微软雅黑"/>
          <w:b w:val="0"/>
          <w:sz w:val="20"/>
        </w:rPr>
        <w:t>• 非活动日显式确认临时学习后创建任务。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过期不能自动顺延。</w:t>
      </w:r>
    </w:p>
    <w:p>
      <w:r>
        <w:rPr>
          <w:rFonts w:ascii="微软雅黑" w:hAnsi="微软雅黑" w:eastAsia="微软雅黑"/>
          <w:b w:val="0"/>
          <w:sz w:val="20"/>
        </w:rPr>
        <w:t>• 超预算先调整，不能挤掉已开始或已完成任务。</w:t>
      </w:r>
    </w:p>
    <w:p>
      <w:r>
        <w:rPr>
          <w:rFonts w:ascii="微软雅黑" w:hAnsi="微软雅黑" w:eastAsia="微软雅黑"/>
          <w:b w:val="0"/>
          <w:sz w:val="20"/>
        </w:rPr>
        <w:t>• 幂等创建任务，避免重复。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/weekly-actions/{week} 获取行动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/weekly-actions/{week} 保存行动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/weekly-actions/{id}/complete 完成行动</w:t>
            </w:r>
          </w:p>
        </w:tc>
      </w:tr>
    </w:tbl>
    <w:p/>
    <w:p>
      <w:r>
        <w:t>处理规则：行动绑定具体周次与用户；完成状态由服务端记录，不能跨周误写。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预期结果：新增、编辑、完成均正确；跨周展示符合时区；重复提交幂等。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