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1400"/>
      </w:pPr>
    </w:p>
    <w:p>
      <w:pPr>
        <w:spacing w:after="100"/>
        <w:jc w:val="center"/>
      </w:pPr>
      <w:r>
        <w:rPr>
          <w:rFonts w:ascii="Georgia" w:cs="Georgia" w:eastAsia="Georgia" w:hAnsi="Georgia"/>
          <w:color w:val="A8895C"/>
          <w:sz w:val="20"/>
          <w:szCs w:val="20"/>
        </w:rPr>
        <w:t xml:space="preserve">MAISON MIRAGE</w:t>
      </w:r>
    </w:p>
    <w:p>
      <w:pPr>
        <w:pBdr>
          <w:bottom w:val="single" w:color="A8895C" w:sz="2" w:space="12"/>
        </w:pBdr>
        <w:spacing w:after="400"/>
        <w:jc w:val="center"/>
      </w:pPr>
      <w:r>
        <w:rPr>
          <w:rFonts w:ascii="Arial" w:cs="Arial" w:eastAsia="Arial" w:hAnsi="Arial"/>
          <w:color w:val="6B6560"/>
          <w:sz w:val="18"/>
          <w:szCs w:val="18"/>
        </w:rPr>
        <w:t xml:space="preserve">Brand Strategy Document</w:t>
      </w:r>
    </w:p>
    <w:p>
      <w:pPr>
        <w:spacing w:after="400" w:before="400"/>
      </w:pPr>
    </w:p>
    <w:p>
      <w:pPr>
        <w:spacing w:after="60"/>
        <w:jc w:val="center"/>
      </w:pPr>
      <w:r>
        <w:rPr>
          <w:rFonts w:ascii="Georgia" w:cs="Georgia" w:eastAsia="Georgia" w:hAnsi="Georgia"/>
          <w:b/>
          <w:bCs/>
          <w:color w:val="1A1714"/>
          <w:sz w:val="52"/>
          <w:szCs w:val="52"/>
        </w:rPr>
        <w:t xml:space="preserve">BRAND NARRATIVE</w:t>
      </w:r>
    </w:p>
    <w:p>
      <w:pPr>
        <w:spacing w:after="40"/>
        <w:jc w:val="center"/>
      </w:pPr>
      <w:r>
        <w:rPr>
          <w:rFonts w:ascii="Georgia" w:cs="Georgia" w:eastAsia="Georgia" w:hAnsi="Georgia"/>
          <w:color w:val="A8895C"/>
          <w:sz w:val="36"/>
          <w:szCs w:val="36"/>
        </w:rPr>
        <w:t xml:space="preserve">&amp;</w:t>
      </w:r>
    </w:p>
    <w:p>
      <w:pPr>
        <w:spacing w:after="100"/>
        <w:jc w:val="center"/>
      </w:pPr>
      <w:r>
        <w:rPr>
          <w:rFonts w:ascii="Georgia" w:cs="Georgia" w:eastAsia="Georgia" w:hAnsi="Georgia"/>
          <w:b/>
          <w:bCs/>
          <w:color w:val="1A1714"/>
          <w:sz w:val="36"/>
          <w:szCs w:val="36"/>
        </w:rPr>
        <w:t xml:space="preserve">TERRITOIRE DE MARQUE</w:t>
      </w:r>
    </w:p>
    <w:p>
      <w:pPr>
        <w:spacing w:after="200" w:before="200"/>
      </w:pPr>
    </w:p>
    <w:p>
      <w:pPr>
        <w:spacing w:after="60"/>
        <w:jc w:val="center"/>
      </w:pPr>
      <w:r>
        <w:rPr>
          <w:rFonts w:ascii="Georgia" w:cs="Georgia" w:eastAsia="Georgia" w:hAnsi="Georgia"/>
          <w:i/>
          <w:iCs/>
          <w:color w:val="6B6560"/>
          <w:sz w:val="22"/>
          <w:szCs w:val="22"/>
        </w:rPr>
        <w:t xml:space="preserve">Exploiter le potentiel narratif du mot « Mirage »</w:t>
      </w:r>
    </w:p>
    <w:p>
      <w:pPr>
        <w:jc w:val="center"/>
      </w:pPr>
      <w:r>
        <w:rPr>
          <w:rFonts w:ascii="Georgia" w:cs="Georgia" w:eastAsia="Georgia" w:hAnsi="Georgia"/>
          <w:i/>
          <w:iCs/>
          <w:color w:val="6B6560"/>
          <w:sz w:val="22"/>
          <w:szCs w:val="22"/>
        </w:rPr>
        <w:t xml:space="preserve">pour construire une marque iconique</w:t>
      </w:r>
    </w:p>
    <w:p>
      <w:pPr>
        <w:spacing w:after="1000" w:before="1000"/>
      </w:pPr>
    </w:p>
    <w:p>
      <w:pPr>
        <w:jc w:val="center"/>
      </w:pPr>
      <w:r>
        <w:rPr>
          <w:rFonts w:ascii="Arial" w:cs="Arial" w:eastAsia="Arial" w:hAnsi="Arial"/>
          <w:color w:val="6B6560"/>
          <w:sz w:val="18"/>
          <w:szCs w:val="18"/>
        </w:rPr>
        <w:t xml:space="preserve">Mars 2026</w:t>
      </w:r>
    </w:p>
    <w:p>
      <w:pPr>
        <w:sectPr>
          <w:pgSz w:w="12240" w:h="15840" w:orient="portrait"/>
          <w:pgMar w:top="1440" w:right="1440" w:bottom="1440" w:left="1440" w:header="708" w:footer="708" w:gutter="0"/>
          <w:pgNumType/>
          <w:docGrid w:linePitch="360"/>
        </w:sectPr>
      </w:pPr>
    </w:p>
    <w:p>
      <w:pPr>
        <w:pBdr>
          <w:bottom w:val="single" w:color="A8895C" w:sz="2" w:space="6"/>
        </w:pBdr>
        <w:spacing w:after="200" w:before="400"/>
      </w:pPr>
      <w:r>
        <w:rPr>
          <w:rFonts w:ascii="Georgia" w:cs="Georgia" w:eastAsia="Georgia" w:hAnsi="Georgia"/>
          <w:b/>
          <w:bCs/>
          <w:color w:val="A8895C"/>
          <w:sz w:val="28"/>
          <w:szCs w:val="28"/>
        </w:rPr>
        <w:t xml:space="preserve">1. </w:t>
      </w:r>
      <w:r>
        <w:rPr>
          <w:rFonts w:ascii="Georgia" w:cs="Georgia" w:eastAsia="Georgia" w:hAnsi="Georgia"/>
          <w:b/>
          <w:bCs/>
          <w:color w:val="1A1714"/>
          <w:sz w:val="28"/>
          <w:szCs w:val="28"/>
        </w:rPr>
        <w:t xml:space="preserve">POURQUOI « MAISON MIRAGE » EST UN NOM DE GÉNIE</w:t>
      </w:r>
    </w:p>
    <w:p>
      <w:pPr>
        <w:spacing w:after="80" w:before="60"/>
      </w:pPr>
      <w:r>
        <w:rPr>
          <w:rFonts w:ascii="Arial" w:cs="Arial" w:eastAsia="Arial" w:hAnsi="Arial"/>
          <w:color w:val="1A1714"/>
          <w:sz w:val="20"/>
          <w:szCs w:val="20"/>
        </w:rPr>
        <w:t xml:space="preserve">Avant de construire le territoire narratif, il faut comprendre pourquoi ce nom est un actif stratégique rare dans l’industrie de la pâtisserie de luxe.</w:t>
      </w:r>
    </w:p>
    <w:p>
      <w:pPr>
        <w:spacing w:after="120" w:before="280"/>
      </w:pPr>
      <w:r>
        <w:rPr>
          <w:rFonts w:ascii="Georgia" w:cs="Georgia" w:eastAsia="Georgia" w:hAnsi="Georgia"/>
          <w:b/>
          <w:bCs/>
          <w:i/>
          <w:iCs/>
          <w:color w:val="1A1714"/>
          <w:sz w:val="22"/>
          <w:szCs w:val="22"/>
        </w:rPr>
        <w:t xml:space="preserve">L’architecture sémantique du nom</w:t>
      </w:r>
    </w:p>
    <w:p>
      <w:pPr>
        <w:spacing w:after="80" w:before="60"/>
      </w:pPr>
      <w:r>
        <w:rPr>
          <w:rFonts w:ascii="Arial" w:cs="Arial" w:eastAsia="Arial" w:hAnsi="Arial"/>
          <w:b/>
          <w:bCs/>
          <w:color w:val="1A1714"/>
          <w:sz w:val="20"/>
          <w:szCs w:val="20"/>
        </w:rPr>
        <w:t xml:space="preserve">« Maison » — </w:t>
      </w:r>
      <w:r>
        <w:rPr>
          <w:rFonts w:ascii="Arial" w:cs="Arial" w:eastAsia="Arial" w:hAnsi="Arial"/>
          <w:color w:val="1A1714"/>
          <w:sz w:val="20"/>
          <w:szCs w:val="20"/>
        </w:rPr>
        <w:t xml:space="preserve">Ce préfixe ancre instantanément la marque dans le registre du luxe artisanal français. C’est le même code que Maison Ladurée, Maison du Chocolat, Maison Kayser. Il communique en un mot la tradition, la lignée, le savoir-faire transmis. Un acheteur international n’a pas besoin de traduction : il comprend le niveau de gamme.</w:t>
      </w:r>
    </w:p>
    <w:p>
      <w:pPr>
        <w:spacing w:after="80" w:before="60"/>
      </w:pPr>
      <w:r>
        <w:rPr>
          <w:rFonts w:ascii="Arial" w:cs="Arial" w:eastAsia="Arial" w:hAnsi="Arial"/>
          <w:b/>
          <w:bCs/>
          <w:color w:val="1A1714"/>
          <w:sz w:val="20"/>
          <w:szCs w:val="20"/>
        </w:rPr>
        <w:t xml:space="preserve">« Mirage » — </w:t>
      </w:r>
      <w:r>
        <w:rPr>
          <w:rFonts w:ascii="Arial" w:cs="Arial" w:eastAsia="Arial" w:hAnsi="Arial"/>
          <w:color w:val="1A1714"/>
          <w:sz w:val="20"/>
          <w:szCs w:val="20"/>
        </w:rPr>
        <w:t xml:space="preserve">C’est le coup de maître. Ce mot décrit littéralement le produit : une illusion visuelle, quelque chose que l’on croit réel mais qui se révèle être autre chose. C’est exactement le trompe-l’œil pâtissier. Mais au-delà du littéral, le mot porte une poétique puissante : le mirage évoque le désert, la chaleur, l’apparition fugace, le rêve éveillé, l’irréel tangible. C’est mémorable, prononcçable dans toutes les langues, et sans concurrent direct dans la pâtisserie.</w:t>
      </w:r>
    </w:p>
    <w:p>
      <w:pPr>
        <w:spacing w:after="80" w:before="80"/>
      </w:pPr>
    </w:p>
    <w:p>
      <w:pPr>
        <w:spacing w:after="120" w:before="280"/>
      </w:pPr>
      <w:r>
        <w:rPr>
          <w:rFonts w:ascii="Georgia" w:cs="Georgia" w:eastAsia="Georgia" w:hAnsi="Georgia"/>
          <w:b/>
          <w:bCs/>
          <w:i/>
          <w:iCs/>
          <w:color w:val="1A1714"/>
          <w:sz w:val="22"/>
          <w:szCs w:val="22"/>
        </w:rPr>
        <w:t xml:space="preserve">Les 5 forces stratégiques du nom</w:t>
      </w:r>
    </w:p>
    <w:p>
      <w:pPr>
        <w:pStyle w:val="ListParagraph"/>
        <w:numPr>
          <w:ilvl w:val="0"/>
          <w:numId w:val="2"/>
        </w:numPr>
        <w:spacing w:after="40" w:before="40"/>
      </w:pPr>
      <w:r>
        <w:rPr>
          <w:rFonts w:ascii="Arial" w:cs="Arial" w:eastAsia="Arial" w:hAnsi="Arial"/>
          <w:color w:val="1A1714"/>
          <w:sz w:val="20"/>
          <w:szCs w:val="20"/>
        </w:rPr>
        <w:t xml:space="preserve">Descriptif sans être littéral : il évoque l’illusion sans dire « pâtisserie trompe-l’œil », laissant place au mystère.</w:t>
      </w:r>
    </w:p>
    <w:p>
      <w:pPr>
        <w:pStyle w:val="ListParagraph"/>
        <w:numPr>
          <w:ilvl w:val="0"/>
          <w:numId w:val="2"/>
        </w:numPr>
        <w:spacing w:after="40" w:before="40"/>
      </w:pPr>
      <w:r>
        <w:rPr>
          <w:rFonts w:ascii="Arial" w:cs="Arial" w:eastAsia="Arial" w:hAnsi="Arial"/>
          <w:color w:val="1A1714"/>
          <w:sz w:val="20"/>
          <w:szCs w:val="20"/>
        </w:rPr>
        <w:t xml:space="preserve">International par nature : « Mirage » existe en anglais, français, espagnol, arabe. « Maison » est universellement compris comme marqueur de luxe français.</w:t>
      </w:r>
    </w:p>
    <w:p>
      <w:pPr>
        <w:pStyle w:val="ListParagraph"/>
        <w:numPr>
          <w:ilvl w:val="0"/>
          <w:numId w:val="2"/>
        </w:numPr>
        <w:spacing w:after="40" w:before="40"/>
      </w:pPr>
      <w:r>
        <w:rPr>
          <w:rFonts w:ascii="Arial" w:cs="Arial" w:eastAsia="Arial" w:hAnsi="Arial"/>
          <w:color w:val="1A1714"/>
          <w:sz w:val="20"/>
          <w:szCs w:val="20"/>
        </w:rPr>
        <w:t xml:space="preserve">Google-friendly : aucune concurrence directe dans le secteur food/pâtisserie. Le SEO est un boulevard.</w:t>
      </w:r>
    </w:p>
    <w:p>
      <w:pPr>
        <w:pStyle w:val="ListParagraph"/>
        <w:numPr>
          <w:ilvl w:val="0"/>
          <w:numId w:val="2"/>
        </w:numPr>
        <w:spacing w:after="40" w:before="40"/>
      </w:pPr>
      <w:r>
        <w:rPr>
          <w:rFonts w:ascii="Arial" w:cs="Arial" w:eastAsia="Arial" w:hAnsi="Arial"/>
          <w:color w:val="1A1714"/>
          <w:sz w:val="20"/>
          <w:szCs w:val="20"/>
        </w:rPr>
        <w:t xml:space="preserve">Extensible : le concept de mirage peut s’appliquer à des extensions futures (boissons, expériences immersives, pop-ups éphémères).</w:t>
      </w:r>
    </w:p>
    <w:p>
      <w:pPr>
        <w:pStyle w:val="ListParagraph"/>
        <w:numPr>
          <w:ilvl w:val="0"/>
          <w:numId w:val="2"/>
        </w:numPr>
        <w:spacing w:after="40" w:before="40"/>
      </w:pPr>
      <w:r>
        <w:rPr>
          <w:rFonts w:ascii="Arial" w:cs="Arial" w:eastAsia="Arial" w:hAnsi="Arial"/>
          <w:color w:val="1A1714"/>
          <w:sz w:val="20"/>
          <w:szCs w:val="20"/>
        </w:rPr>
        <w:t xml:space="preserve">Chargé émotionnellement : un mirage provoque l’émerveillement, la curiosité, puis la révélation. Exactement la séquence émotionnelle de vos desserts.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8895C" w:sz="6"/>
              <w:bottom w:val="none"/>
              <w:right w:val="none"/>
            </w:tcBorders>
            <w:shd w:fill="FAF5EF" w:val="clear"/>
            <w:tcMar>
              <w:top w:type="dxa" w:w="150"/>
              <w:left w:type="dxa" w:w="300"/>
              <w:bottom w:type="dxa" w:w="150"/>
              <w:right w:type="dxa" w:w="300"/>
            </w:tcMar>
          </w:tcPr>
          <w:p>
            <w:r>
              <w:rPr>
                <w:rFonts w:ascii="Georgia" w:cs="Georgia" w:eastAsia="Georgia" w:hAnsi="Georgia"/>
                <w:i/>
                <w:iCs/>
                <w:color w:val="7A6552"/>
                <w:sz w:val="22"/>
                <w:szCs w:val="22"/>
              </w:rPr>
              <w:t xml:space="preserve">Le problème n’est pas le nom. Le problème, c’est que ce nom ne travaille pas. Il est là, en haut de page, mais il ne raconte rien. Il faut le libérer.</w:t>
            </w:r>
          </w:p>
        </w:tc>
      </w:tr>
    </w:tbl>
    <w:p>
      <w:r>
        <w:br w:type="page"/>
      </w:r>
    </w:p>
    <w:p>
      <w:pPr>
        <w:pBdr>
          <w:bottom w:val="single" w:color="A8895C" w:sz="2" w:space="6"/>
        </w:pBdr>
        <w:spacing w:after="200" w:before="400"/>
      </w:pPr>
      <w:r>
        <w:rPr>
          <w:rFonts w:ascii="Georgia" w:cs="Georgia" w:eastAsia="Georgia" w:hAnsi="Georgia"/>
          <w:b/>
          <w:bCs/>
          <w:color w:val="A8895C"/>
          <w:sz w:val="28"/>
          <w:szCs w:val="28"/>
        </w:rPr>
        <w:t xml:space="preserve">2. </w:t>
      </w:r>
      <w:r>
        <w:rPr>
          <w:rFonts w:ascii="Georgia" w:cs="Georgia" w:eastAsia="Georgia" w:hAnsi="Georgia"/>
          <w:b/>
          <w:bCs/>
          <w:color w:val="1A1714"/>
          <w:sz w:val="28"/>
          <w:szCs w:val="28"/>
        </w:rPr>
        <w:t xml:space="preserve">LE TERRITOIRE DE MARQUE</w:t>
      </w:r>
    </w:p>
    <w:p>
      <w:pPr>
        <w:spacing w:after="80" w:before="60"/>
      </w:pPr>
      <w:r>
        <w:rPr>
          <w:rFonts w:ascii="Arial" w:cs="Arial" w:eastAsia="Arial" w:hAnsi="Arial"/>
          <w:color w:val="1A1714"/>
          <w:sz w:val="20"/>
          <w:szCs w:val="20"/>
        </w:rPr>
        <w:t xml:space="preserve">Un territoire de marque, c’est l’espace narratif, visuel et émotionnel dans lequel une marque évolue de manière cohérente. Voici celui de Maison Mirage.</w:t>
      </w:r>
    </w:p>
    <w:p>
      <w:pPr>
        <w:spacing w:after="120" w:before="280"/>
      </w:pPr>
      <w:r>
        <w:rPr>
          <w:rFonts w:ascii="Georgia" w:cs="Georgia" w:eastAsia="Georgia" w:hAnsi="Georgia"/>
          <w:b/>
          <w:bCs/>
          <w:i/>
          <w:iCs/>
          <w:color w:val="1A1714"/>
          <w:sz w:val="22"/>
          <w:szCs w:val="22"/>
        </w:rPr>
        <w:t xml:space="preserve">La promesse fondatrice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8895C" w:sz="6"/>
              <w:bottom w:val="none"/>
              <w:right w:val="none"/>
            </w:tcBorders>
            <w:shd w:fill="FAF5EF" w:val="clear"/>
            <w:tcMar>
              <w:top w:type="dxa" w:w="150"/>
              <w:left w:type="dxa" w:w="300"/>
              <w:bottom w:type="dxa" w:w="150"/>
              <w:right w:type="dxa" w:w="300"/>
            </w:tcMar>
          </w:tcPr>
          <w:p>
            <w:r>
              <w:rPr>
                <w:rFonts w:ascii="Georgia" w:cs="Georgia" w:eastAsia="Georgia" w:hAnsi="Georgia"/>
                <w:i/>
                <w:iCs/>
                <w:color w:val="7A6552"/>
                <w:sz w:val="22"/>
                <w:szCs w:val="22"/>
              </w:rPr>
              <w:t xml:space="preserve">Chez Maison Mirage, ce que vous voyez n’est jamais ce que vous goûtez. Chaque création est une apparition comestible — un fruit parfait qui révèle un dessert d’exception.</w:t>
            </w:r>
          </w:p>
        </w:tc>
      </w:tr>
    </w:tbl>
    <w:p>
      <w:pPr>
        <w:spacing w:after="100" w:before="100"/>
      </w:pPr>
    </w:p>
    <w:p>
      <w:pPr>
        <w:spacing w:after="120" w:before="280"/>
      </w:pPr>
      <w:r>
        <w:rPr>
          <w:rFonts w:ascii="Georgia" w:cs="Georgia" w:eastAsia="Georgia" w:hAnsi="Georgia"/>
          <w:b/>
          <w:bCs/>
          <w:i/>
          <w:iCs/>
          <w:color w:val="1A1714"/>
          <w:sz w:val="22"/>
          <w:szCs w:val="22"/>
        </w:rPr>
        <w:t xml:space="preserve">Le triangle narratif</w:t>
      </w:r>
    </w:p>
    <w:p>
      <w:pPr>
        <w:spacing w:after="80" w:before="60"/>
      </w:pPr>
      <w:r>
        <w:rPr>
          <w:rFonts w:ascii="Arial" w:cs="Arial" w:eastAsia="Arial" w:hAnsi="Arial"/>
          <w:color w:val="1A1714"/>
          <w:sz w:val="20"/>
          <w:szCs w:val="20"/>
        </w:rPr>
        <w:t xml:space="preserve">Tout le storytelling de Maison Mirage repose sur une tension dramatique en trois temps, qui se répète à chaque point de contact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8895C" w:sz="3"/>
              <w:left w:val="single" w:color="D9D0C7" w:sz="1"/>
              <w:bottom w:val="single" w:color="D9D0C7" w:sz="1"/>
              <w:right w:val="none"/>
            </w:tcBorders>
            <w:shd w:fill="FAF5EF" w:val="clear"/>
            <w:tcMar>
              <w:top w:type="dxa" w:w="120"/>
              <w:left w:type="dxa" w:w="150"/>
              <w:bottom w:type="dxa" w:w="120"/>
              <w:right w:type="dxa" w:w="150"/>
            </w:tcMar>
          </w:tcPr>
          <w:p>
            <w:pPr>
              <w:jc w:val="center"/>
            </w:pPr>
            <w:r>
              <w:rPr>
                <w:rFonts w:ascii="Georgia" w:cs="Georgia" w:eastAsia="Georgia" w:hAnsi="Georgia"/>
                <w:b/>
                <w:bCs/>
                <w:color w:val="1A1714"/>
                <w:sz w:val="18"/>
                <w:szCs w:val="18"/>
              </w:rPr>
              <w:t xml:space="preserve">1. L’APPARITION</w:t>
            </w:r>
          </w:p>
        </w:tc>
        <w:tc>
          <w:tcPr>
            <w:tcW w:type="dxa" w:w="3120"/>
            <w:tcBorders>
              <w:top w:val="single" w:color="A8895C" w:sz="3"/>
              <w:left w:val="none"/>
              <w:bottom w:val="single" w:color="D9D0C7" w:sz="1"/>
              <w:right w:val="none"/>
            </w:tcBorders>
            <w:shd w:fill="FAF5EF" w:val="clear"/>
            <w:tcMar>
              <w:top w:type="dxa" w:w="120"/>
              <w:left w:type="dxa" w:w="150"/>
              <w:bottom w:type="dxa" w:w="120"/>
              <w:right w:type="dxa" w:w="150"/>
            </w:tcMar>
          </w:tcPr>
          <w:p>
            <w:pPr>
              <w:jc w:val="center"/>
            </w:pPr>
            <w:r>
              <w:rPr>
                <w:rFonts w:ascii="Georgia" w:cs="Georgia" w:eastAsia="Georgia" w:hAnsi="Georgia"/>
                <w:b/>
                <w:bCs/>
                <w:color w:val="1A1714"/>
                <w:sz w:val="18"/>
                <w:szCs w:val="18"/>
              </w:rPr>
              <w:t xml:space="preserve">2. LE DOUTE</w:t>
            </w:r>
          </w:p>
        </w:tc>
        <w:tc>
          <w:tcPr>
            <w:tcW w:type="dxa" w:w="3120"/>
            <w:tcBorders>
              <w:top w:val="single" w:color="A8895C" w:sz="3"/>
              <w:left w:val="none"/>
              <w:bottom w:val="single" w:color="D9D0C7" w:sz="1"/>
              <w:right w:val="single" w:color="D9D0C7" w:sz="1"/>
            </w:tcBorders>
            <w:shd w:fill="FAF5EF" w:val="clear"/>
            <w:tcMar>
              <w:top w:type="dxa" w:w="120"/>
              <w:left w:type="dxa" w:w="150"/>
              <w:bottom w:type="dxa" w:w="120"/>
              <w:right w:type="dxa" w:w="150"/>
            </w:tcMar>
          </w:tcPr>
          <w:p>
            <w:pPr>
              <w:jc w:val="center"/>
            </w:pPr>
            <w:r>
              <w:rPr>
                <w:rFonts w:ascii="Georgia" w:cs="Georgia" w:eastAsia="Georgia" w:hAnsi="Georgia"/>
                <w:b/>
                <w:bCs/>
                <w:color w:val="1A1714"/>
                <w:sz w:val="18"/>
                <w:szCs w:val="18"/>
              </w:rPr>
              <w:t xml:space="preserve">3. LA RÉVÉLATION</w:t>
            </w:r>
          </w:p>
        </w:tc>
      </w:tr>
      <w:tr>
        <w:tc>
          <w:tcPr>
            <w:tcW w:type="dxa" w:w="3120"/>
            <w:tcBorders>
              <w:top w:val="none"/>
              <w:left w:val="single" w:color="D9D0C7" w:sz="1"/>
              <w:bottom w:val="single" w:color="D9D0C7" w:sz="1"/>
              <w:right w:val="none"/>
            </w:tcBorders>
            <w:shd w:fill="FFFFFF" w:val="clear"/>
            <w:tcMar>
              <w:top w:type="dxa" w:w="100"/>
              <w:left w:type="dxa" w:w="150"/>
              <w:bottom w:type="dxa" w:w="100"/>
              <w:right w:type="dxa" w:w="150"/>
            </w:tcMar>
          </w:tcPr>
          <w:p>
            <w:r>
              <w:rPr>
                <w:rFonts w:ascii="Arial" w:cs="Arial" w:eastAsia="Arial" w:hAnsi="Arial"/>
                <w:color w:val="1A1714"/>
                <w:sz w:val="18"/>
                <w:szCs w:val="18"/>
              </w:rPr>
              <w:t xml:space="preserve">Le client voit un fruit parfait. Il est intrigué. C’est beau, c’est réaliste, c’est inattendu.</w:t>
            </w:r>
          </w:p>
        </w:tc>
        <w:tc>
          <w:tcPr>
            <w:tcW w:type="dxa" w:w="3120"/>
            <w:tcBorders>
              <w:top w:val="none"/>
              <w:left w:val="none"/>
              <w:bottom w:val="single" w:color="D9D0C7" w:sz="1"/>
              <w:right w:val="none"/>
            </w:tcBorders>
            <w:shd w:fill="FFFFFF" w:val="clear"/>
            <w:tcMar>
              <w:top w:type="dxa" w:w="100"/>
              <w:left w:type="dxa" w:w="150"/>
              <w:bottom w:type="dxa" w:w="100"/>
              <w:right w:type="dxa" w:w="150"/>
            </w:tcMar>
          </w:tcPr>
          <w:p>
            <w:r>
              <w:rPr>
                <w:rFonts w:ascii="Arial" w:cs="Arial" w:eastAsia="Arial" w:hAnsi="Arial"/>
                <w:color w:val="1A1714"/>
                <w:sz w:val="18"/>
                <w:szCs w:val="18"/>
              </w:rPr>
              <w:t xml:space="preserve">Il hésite. Est-ce un vrai fruit ? Un objet décoratif ? Il sort son téléphone pour filmer.</w:t>
            </w:r>
          </w:p>
        </w:tc>
        <w:tc>
          <w:tcPr>
            <w:tcW w:type="dxa" w:w="3120"/>
            <w:tcBorders>
              <w:top w:val="none"/>
              <w:left w:val="none"/>
              <w:bottom w:val="single" w:color="D9D0C7" w:sz="1"/>
              <w:right w:val="single" w:color="D9D0C7" w:sz="1"/>
            </w:tcBorders>
            <w:shd w:fill="FFFFFF" w:val="clear"/>
            <w:tcMar>
              <w:top w:type="dxa" w:w="100"/>
              <w:left w:type="dxa" w:w="150"/>
              <w:bottom w:type="dxa" w:w="100"/>
              <w:right w:type="dxa" w:w="150"/>
            </w:tcMar>
          </w:tcPr>
          <w:p>
            <w:r>
              <w:rPr>
                <w:rFonts w:ascii="Arial" w:cs="Arial" w:eastAsia="Arial" w:hAnsi="Arial"/>
                <w:color w:val="1A1714"/>
                <w:sz w:val="18"/>
                <w:szCs w:val="18"/>
              </w:rPr>
              <w:t xml:space="preserve">Il coupe. Et là, la magie : un dessert d’exception se révèle. Le mirage se dissipe en bouche.</w:t>
            </w:r>
          </w:p>
        </w:tc>
      </w:tr>
    </w:tbl>
    <w:p>
      <w:pPr>
        <w:spacing w:after="100" w:before="100"/>
      </w:pPr>
    </w:p>
    <w:p>
      <w:pPr>
        <w:spacing w:after="80" w:before="60"/>
      </w:pPr>
      <w:r>
        <w:rPr>
          <w:rFonts w:ascii="Arial" w:cs="Arial" w:eastAsia="Arial" w:hAnsi="Arial"/>
          <w:color w:val="1A1714"/>
          <w:sz w:val="20"/>
          <w:szCs w:val="20"/>
        </w:rPr>
        <w:t xml:space="preserve">Cette séquence Apparition → Doute → Révélation doit se retrouver partout : dans le hero du site, dans les vidéos, dans l’expérience en boutique, dans chaque post Instagram, dans le pitch commercial.</w:t>
      </w:r>
    </w:p>
    <w:p>
      <w:pPr>
        <w:spacing w:after="120" w:before="280"/>
      </w:pPr>
      <w:r>
        <w:rPr>
          <w:rFonts w:ascii="Georgia" w:cs="Georgia" w:eastAsia="Georgia" w:hAnsi="Georgia"/>
          <w:b/>
          <w:bCs/>
          <w:i/>
          <w:iCs/>
          <w:color w:val="1A1714"/>
          <w:sz w:val="22"/>
          <w:szCs w:val="22"/>
        </w:rPr>
        <w:t xml:space="preserve">Les valeurs de marque</w:t>
      </w:r>
    </w:p>
    <w:p>
      <w:pPr>
        <w:pStyle w:val="ListParagraph"/>
        <w:numPr>
          <w:ilvl w:val="0"/>
          <w:numId w:val="2"/>
        </w:numPr>
        <w:spacing w:after="40" w:before="40"/>
      </w:pPr>
      <w:r>
        <w:rPr>
          <w:rFonts w:ascii="Arial" w:cs="Arial" w:eastAsia="Arial" w:hAnsi="Arial"/>
          <w:color w:val="1A1714"/>
          <w:sz w:val="20"/>
          <w:szCs w:val="20"/>
        </w:rPr>
        <w:t xml:space="preserve">L’Émerveillement : chaque création doit provoquer un « wahou ». Si le client ne sort pas son téléphone, on a échoué.</w:t>
      </w:r>
    </w:p>
    <w:p>
      <w:pPr>
        <w:pStyle w:val="ListParagraph"/>
        <w:numPr>
          <w:ilvl w:val="0"/>
          <w:numId w:val="2"/>
        </w:numPr>
        <w:spacing w:after="40" w:before="40"/>
      </w:pPr>
      <w:r>
        <w:rPr>
          <w:rFonts w:ascii="Arial" w:cs="Arial" w:eastAsia="Arial" w:hAnsi="Arial"/>
          <w:color w:val="1A1714"/>
          <w:sz w:val="20"/>
          <w:szCs w:val="20"/>
        </w:rPr>
        <w:t xml:space="preserve">La Maîtrise invisible : la perfection technique ne doit jamais se voir. Le glaçage est impeccable, les détails sont millimétriques, mais tout semble naturel.</w:t>
      </w:r>
    </w:p>
    <w:p>
      <w:pPr>
        <w:pStyle w:val="ListParagraph"/>
        <w:numPr>
          <w:ilvl w:val="0"/>
          <w:numId w:val="2"/>
        </w:numPr>
        <w:spacing w:after="40" w:before="40"/>
      </w:pPr>
      <w:r>
        <w:rPr>
          <w:rFonts w:ascii="Arial" w:cs="Arial" w:eastAsia="Arial" w:hAnsi="Arial"/>
          <w:color w:val="1A1714"/>
          <w:sz w:val="20"/>
          <w:szCs w:val="20"/>
        </w:rPr>
        <w:t xml:space="preserve">La Générosité cachée : sous l’illusion visuelle se cache une vraie générosité gustative. L’intérieur dépasse toujours la promesse de l’extérieur.</w:t>
      </w:r>
    </w:p>
    <w:p>
      <w:pPr>
        <w:pStyle w:val="ListParagraph"/>
        <w:numPr>
          <w:ilvl w:val="0"/>
          <w:numId w:val="2"/>
        </w:numPr>
        <w:spacing w:after="40" w:before="40"/>
      </w:pPr>
      <w:r>
        <w:rPr>
          <w:rFonts w:ascii="Arial" w:cs="Arial" w:eastAsia="Arial" w:hAnsi="Arial"/>
          <w:color w:val="1A1714"/>
          <w:sz w:val="20"/>
          <w:szCs w:val="20"/>
        </w:rPr>
        <w:t xml:space="preserve">L’Artisanat d’exception : chaque pièce est une œuvre. Pas un produit industriel, pas un gâteau : une sculpture comestible.</w:t>
      </w:r>
    </w:p>
    <w:p>
      <w:r>
        <w:br w:type="page"/>
      </w:r>
    </w:p>
    <w:p>
      <w:pPr>
        <w:pBdr>
          <w:bottom w:val="single" w:color="A8895C" w:sz="2" w:space="6"/>
        </w:pBdr>
        <w:spacing w:after="200" w:before="400"/>
      </w:pPr>
      <w:r>
        <w:rPr>
          <w:rFonts w:ascii="Georgia" w:cs="Georgia" w:eastAsia="Georgia" w:hAnsi="Georgia"/>
          <w:b/>
          <w:bCs/>
          <w:color w:val="A8895C"/>
          <w:sz w:val="28"/>
          <w:szCs w:val="28"/>
        </w:rPr>
        <w:t xml:space="preserve">3. </w:t>
      </w:r>
      <w:r>
        <w:rPr>
          <w:rFonts w:ascii="Georgia" w:cs="Georgia" w:eastAsia="Georgia" w:hAnsi="Georgia"/>
          <w:b/>
          <w:bCs/>
          <w:color w:val="1A1714"/>
          <w:sz w:val="28"/>
          <w:szCs w:val="28"/>
        </w:rPr>
        <w:t xml:space="preserve">LE LEXIQUE DE MARQUE — MOTS À UTILISER, MOTS À BANNIR</w:t>
      </w:r>
    </w:p>
    <w:p>
      <w:pPr>
        <w:spacing w:after="80" w:before="60"/>
      </w:pPr>
      <w:r>
        <w:rPr>
          <w:rFonts w:ascii="Arial" w:cs="Arial" w:eastAsia="Arial" w:hAnsi="Arial"/>
          <w:color w:val="1A1714"/>
          <w:sz w:val="20"/>
          <w:szCs w:val="20"/>
        </w:rPr>
        <w:t xml:space="preserve">Un territoire de marque se construit aussi par les mots qu’on choisit et ceux qu’on refuse. Voici le vocabulaire officiel de Maison Mirage.</w:t>
      </w:r>
    </w:p>
    <w:p>
      <w:pPr>
        <w:spacing w:after="120" w:before="280"/>
      </w:pPr>
      <w:r>
        <w:rPr>
          <w:rFonts w:ascii="Georgia" w:cs="Georgia" w:eastAsia="Georgia" w:hAnsi="Georgia"/>
          <w:b/>
          <w:bCs/>
          <w:i/>
          <w:iCs/>
          <w:color w:val="1A1714"/>
          <w:sz w:val="22"/>
          <w:szCs w:val="22"/>
        </w:rPr>
        <w:t xml:space="preserve">Le champ lexical du Mirage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0C7" w:sz="1"/>
              <w:left w:val="single" w:color="D9D0C7" w:sz="1"/>
              <w:bottom w:val="single" w:color="D9D0C7" w:sz="1"/>
              <w:right w:val="single" w:color="D9D0C7" w:sz="1"/>
            </w:tcBorders>
            <w:shd w:fill="1A1714" w:val="clear"/>
            <w:tcMar>
              <w:top w:type="dxa" w:w="80"/>
              <w:left w:type="dxa" w:w="150"/>
              <w:bottom w:type="dxa" w:w="80"/>
              <w:right w:type="dxa" w:w="150"/>
            </w:tcMar>
          </w:tcPr>
          <w:p>
            <w:r>
              <w:rPr>
                <w:rFonts w:ascii="Arial" w:cs="Arial" w:eastAsia="Arial" w:hAnsi="Arial"/>
                <w:b/>
                <w:bCs/>
                <w:color w:val="FFFFFF"/>
                <w:sz w:val="16"/>
                <w:szCs w:val="16"/>
              </w:rPr>
              <w:t xml:space="preserve">Mot / Expression</w:t>
            </w:r>
          </w:p>
        </w:tc>
        <w:tc>
          <w:tcPr>
            <w:tcW w:type="dxa" w:w="6560"/>
            <w:tcBorders>
              <w:top w:val="single" w:color="D9D0C7" w:sz="1"/>
              <w:left w:val="single" w:color="D9D0C7" w:sz="1"/>
              <w:bottom w:val="single" w:color="D9D0C7" w:sz="1"/>
              <w:right w:val="single" w:color="D9D0C7" w:sz="1"/>
            </w:tcBorders>
            <w:shd w:fill="1A1714" w:val="clear"/>
            <w:tcMar>
              <w:top w:type="dxa" w:w="80"/>
              <w:left w:type="dxa" w:w="150"/>
              <w:bottom w:type="dxa" w:w="80"/>
              <w:right w:type="dxa" w:w="150"/>
            </w:tcMar>
          </w:tcPr>
          <w:p>
            <w:r>
              <w:rPr>
                <w:rFonts w:ascii="Arial" w:cs="Arial" w:eastAsia="Arial" w:hAnsi="Arial"/>
                <w:b/>
                <w:bCs/>
                <w:color w:val="FFFFFF"/>
                <w:sz w:val="16"/>
                <w:szCs w:val="16"/>
              </w:rPr>
              <w:t xml:space="preserve">Usage &amp; contexte</w:t>
            </w:r>
          </w:p>
        </w:tc>
      </w:tr>
      <w:tr>
        <w:tc>
          <w:tcPr>
            <w:tcW w:type="dxa" w:w="2800"/>
            <w:tcBorders>
              <w:top w:val="single" w:color="D9D0C7" w:sz="1"/>
              <w:left w:val="single" w:color="D9D0C7" w:sz="1"/>
              <w:bottom w:val="single" w:color="D9D0C7" w:sz="1"/>
              <w:right w:val="single" w:color="D9D0C7" w:sz="1"/>
            </w:tcBorders>
            <w:shd w:fill="FAF5EF" w:val="clear"/>
            <w:tcMar>
              <w:top w:type="dxa" w:w="80"/>
              <w:left w:type="dxa" w:w="150"/>
              <w:bottom w:type="dxa" w:w="80"/>
              <w:right w:type="dxa" w:w="150"/>
            </w:tcMar>
          </w:tcPr>
          <w:p>
            <w:r>
              <w:rPr>
                <w:rFonts w:ascii="Georgia" w:cs="Georgia" w:eastAsia="Georgia" w:hAnsi="Georgia"/>
                <w:b/>
                <w:bCs/>
                <w:color w:val="1A1714"/>
                <w:sz w:val="20"/>
                <w:szCs w:val="20"/>
              </w:rPr>
              <w:t xml:space="preserve">Apparition</w:t>
            </w:r>
          </w:p>
        </w:tc>
        <w:tc>
          <w:tcPr>
            <w:tcW w:type="dxa" w:w="6560"/>
            <w:tcBorders>
              <w:top w:val="single" w:color="D9D0C7" w:sz="1"/>
              <w:left w:val="single" w:color="D9D0C7" w:sz="1"/>
              <w:bottom w:val="single" w:color="D9D0C7" w:sz="1"/>
              <w:right w:val="single" w:color="D9D0C7" w:sz="1"/>
            </w:tcBorders>
            <w:shd w:fill="FFFFFF" w:val="clear"/>
            <w:tcMar>
              <w:top w:type="dxa" w:w="80"/>
              <w:left w:type="dxa" w:w="150"/>
              <w:bottom w:type="dxa" w:w="80"/>
              <w:right w:type="dxa" w:w="150"/>
            </w:tcMar>
          </w:tcPr>
          <w:p>
            <w:r>
              <w:rPr>
                <w:rFonts w:ascii="Arial" w:cs="Arial" w:eastAsia="Arial" w:hAnsi="Arial"/>
                <w:color w:val="1A1714"/>
                <w:sz w:val="18"/>
                <w:szCs w:val="18"/>
              </w:rPr>
              <w:t xml:space="preserve">Pour décrire le moment où le dessert est posé devant le client. « Une apparition sur votre table. »</w:t>
            </w:r>
          </w:p>
        </w:tc>
      </w:tr>
      <w:tr>
        <w:tc>
          <w:tcPr>
            <w:tcW w:type="dxa" w:w="2800"/>
            <w:tcBorders>
              <w:top w:val="single" w:color="D9D0C7" w:sz="1"/>
              <w:left w:val="single" w:color="D9D0C7" w:sz="1"/>
              <w:bottom w:val="single" w:color="D9D0C7" w:sz="1"/>
              <w:right w:val="single" w:color="D9D0C7" w:sz="1"/>
            </w:tcBorders>
            <w:shd w:fill="FAF5EF" w:val="clear"/>
            <w:tcMar>
              <w:top w:type="dxa" w:w="80"/>
              <w:left w:type="dxa" w:w="150"/>
              <w:bottom w:type="dxa" w:w="80"/>
              <w:right w:type="dxa" w:w="150"/>
            </w:tcMar>
          </w:tcPr>
          <w:p>
            <w:r>
              <w:rPr>
                <w:rFonts w:ascii="Georgia" w:cs="Georgia" w:eastAsia="Georgia" w:hAnsi="Georgia"/>
                <w:b/>
                <w:bCs/>
                <w:color w:val="1A1714"/>
                <w:sz w:val="20"/>
                <w:szCs w:val="20"/>
              </w:rPr>
              <w:t xml:space="preserve">Se révéler</w:t>
            </w:r>
          </w:p>
        </w:tc>
        <w:tc>
          <w:tcPr>
            <w:tcW w:type="dxa" w:w="6560"/>
            <w:tcBorders>
              <w:top w:val="single" w:color="D9D0C7" w:sz="1"/>
              <w:left w:val="single" w:color="D9D0C7" w:sz="1"/>
              <w:bottom w:val="single" w:color="D9D0C7" w:sz="1"/>
              <w:right w:val="single" w:color="D9D0C7" w:sz="1"/>
            </w:tcBorders>
            <w:shd w:fill="FFFFFF" w:val="clear"/>
            <w:tcMar>
              <w:top w:type="dxa" w:w="80"/>
              <w:left w:type="dxa" w:w="150"/>
              <w:bottom w:type="dxa" w:w="80"/>
              <w:right w:type="dxa" w:w="150"/>
            </w:tcMar>
          </w:tcPr>
          <w:p>
            <w:r>
              <w:rPr>
                <w:rFonts w:ascii="Arial" w:cs="Arial" w:eastAsia="Arial" w:hAnsi="Arial"/>
                <w:color w:val="1A1714"/>
                <w:sz w:val="18"/>
                <w:szCs w:val="18"/>
              </w:rPr>
              <w:t xml:space="preserve">Pour décrire l’intérieur du dessert. « Sous la fraise, un cœur se révèle. »</w:t>
            </w:r>
          </w:p>
        </w:tc>
      </w:tr>
      <w:tr>
        <w:tc>
          <w:tcPr>
            <w:tcW w:type="dxa" w:w="2800"/>
            <w:tcBorders>
              <w:top w:val="single" w:color="D9D0C7" w:sz="1"/>
              <w:left w:val="single" w:color="D9D0C7" w:sz="1"/>
              <w:bottom w:val="single" w:color="D9D0C7" w:sz="1"/>
              <w:right w:val="single" w:color="D9D0C7" w:sz="1"/>
            </w:tcBorders>
            <w:shd w:fill="FAF5EF" w:val="clear"/>
            <w:tcMar>
              <w:top w:type="dxa" w:w="80"/>
              <w:left w:type="dxa" w:w="150"/>
              <w:bottom w:type="dxa" w:w="80"/>
              <w:right w:type="dxa" w:w="150"/>
            </w:tcMar>
          </w:tcPr>
          <w:p>
            <w:r>
              <w:rPr>
                <w:rFonts w:ascii="Georgia" w:cs="Georgia" w:eastAsia="Georgia" w:hAnsi="Georgia"/>
                <w:b/>
                <w:bCs/>
                <w:color w:val="1A1714"/>
                <w:sz w:val="20"/>
                <w:szCs w:val="20"/>
              </w:rPr>
              <w:t xml:space="preserve">Se dissiper</w:t>
            </w:r>
          </w:p>
        </w:tc>
        <w:tc>
          <w:tcPr>
            <w:tcW w:type="dxa" w:w="6560"/>
            <w:tcBorders>
              <w:top w:val="single" w:color="D9D0C7" w:sz="1"/>
              <w:left w:val="single" w:color="D9D0C7" w:sz="1"/>
              <w:bottom w:val="single" w:color="D9D0C7" w:sz="1"/>
              <w:right w:val="single" w:color="D9D0C7" w:sz="1"/>
            </w:tcBorders>
            <w:shd w:fill="FFFFFF" w:val="clear"/>
            <w:tcMar>
              <w:top w:type="dxa" w:w="80"/>
              <w:left w:type="dxa" w:w="150"/>
              <w:bottom w:type="dxa" w:w="80"/>
              <w:right w:type="dxa" w:w="150"/>
            </w:tcMar>
          </w:tcPr>
          <w:p>
            <w:r>
              <w:rPr>
                <w:rFonts w:ascii="Arial" w:cs="Arial" w:eastAsia="Arial" w:hAnsi="Arial"/>
                <w:color w:val="1A1714"/>
                <w:sz w:val="18"/>
                <w:szCs w:val="18"/>
              </w:rPr>
              <w:t xml:space="preserve">Pour décrire le moment gustatif. « Le mirage se dissipe en bouche. »</w:t>
            </w:r>
          </w:p>
        </w:tc>
      </w:tr>
      <w:tr>
        <w:tc>
          <w:tcPr>
            <w:tcW w:type="dxa" w:w="2800"/>
            <w:tcBorders>
              <w:top w:val="single" w:color="D9D0C7" w:sz="1"/>
              <w:left w:val="single" w:color="D9D0C7" w:sz="1"/>
              <w:bottom w:val="single" w:color="D9D0C7" w:sz="1"/>
              <w:right w:val="single" w:color="D9D0C7" w:sz="1"/>
            </w:tcBorders>
            <w:shd w:fill="FAF5EF" w:val="clear"/>
            <w:tcMar>
              <w:top w:type="dxa" w:w="80"/>
              <w:left w:type="dxa" w:w="150"/>
              <w:bottom w:type="dxa" w:w="80"/>
              <w:right w:type="dxa" w:w="150"/>
            </w:tcMar>
          </w:tcPr>
          <w:p>
            <w:r>
              <w:rPr>
                <w:rFonts w:ascii="Georgia" w:cs="Georgia" w:eastAsia="Georgia" w:hAnsi="Georgia"/>
                <w:b/>
                <w:bCs/>
                <w:color w:val="1A1714"/>
                <w:sz w:val="20"/>
                <w:szCs w:val="20"/>
              </w:rPr>
              <w:t xml:space="preserve">Illusion parfaite</w:t>
            </w:r>
          </w:p>
        </w:tc>
        <w:tc>
          <w:tcPr>
            <w:tcW w:type="dxa" w:w="6560"/>
            <w:tcBorders>
              <w:top w:val="single" w:color="D9D0C7" w:sz="1"/>
              <w:left w:val="single" w:color="D9D0C7" w:sz="1"/>
              <w:bottom w:val="single" w:color="D9D0C7" w:sz="1"/>
              <w:right w:val="single" w:color="D9D0C7" w:sz="1"/>
            </w:tcBorders>
            <w:shd w:fill="FFFFFF" w:val="clear"/>
            <w:tcMar>
              <w:top w:type="dxa" w:w="80"/>
              <w:left w:type="dxa" w:w="150"/>
              <w:bottom w:type="dxa" w:w="80"/>
              <w:right w:type="dxa" w:w="150"/>
            </w:tcMar>
          </w:tcPr>
          <w:p>
            <w:r>
              <w:rPr>
                <w:rFonts w:ascii="Arial" w:cs="Arial" w:eastAsia="Arial" w:hAnsi="Arial"/>
                <w:color w:val="1A1714"/>
                <w:sz w:val="18"/>
                <w:szCs w:val="18"/>
              </w:rPr>
              <w:t xml:space="preserve">Pour qualifier le niveau de réalisme. « Une illusion parfaite, conçue pour être décryptée. »</w:t>
            </w:r>
          </w:p>
        </w:tc>
      </w:tr>
      <w:tr>
        <w:tc>
          <w:tcPr>
            <w:tcW w:type="dxa" w:w="2800"/>
            <w:tcBorders>
              <w:top w:val="single" w:color="D9D0C7" w:sz="1"/>
              <w:left w:val="single" w:color="D9D0C7" w:sz="1"/>
              <w:bottom w:val="single" w:color="D9D0C7" w:sz="1"/>
              <w:right w:val="single" w:color="D9D0C7" w:sz="1"/>
            </w:tcBorders>
            <w:shd w:fill="FAF5EF" w:val="clear"/>
            <w:tcMar>
              <w:top w:type="dxa" w:w="80"/>
              <w:left w:type="dxa" w:w="150"/>
              <w:bottom w:type="dxa" w:w="80"/>
              <w:right w:type="dxa" w:w="150"/>
            </w:tcMar>
          </w:tcPr>
          <w:p>
            <w:r>
              <w:rPr>
                <w:rFonts w:ascii="Georgia" w:cs="Georgia" w:eastAsia="Georgia" w:hAnsi="Georgia"/>
                <w:b/>
                <w:bCs/>
                <w:color w:val="1A1714"/>
                <w:sz w:val="20"/>
                <w:szCs w:val="20"/>
              </w:rPr>
              <w:t xml:space="preserve">Sculpture comestible</w:t>
            </w:r>
          </w:p>
        </w:tc>
        <w:tc>
          <w:tcPr>
            <w:tcW w:type="dxa" w:w="6560"/>
            <w:tcBorders>
              <w:top w:val="single" w:color="D9D0C7" w:sz="1"/>
              <w:left w:val="single" w:color="D9D0C7" w:sz="1"/>
              <w:bottom w:val="single" w:color="D9D0C7" w:sz="1"/>
              <w:right w:val="single" w:color="D9D0C7" w:sz="1"/>
            </w:tcBorders>
            <w:shd w:fill="FFFFFF" w:val="clear"/>
            <w:tcMar>
              <w:top w:type="dxa" w:w="80"/>
              <w:left w:type="dxa" w:w="150"/>
              <w:bottom w:type="dxa" w:w="80"/>
              <w:right w:type="dxa" w:w="150"/>
            </w:tcMar>
          </w:tcPr>
          <w:p>
            <w:r>
              <w:rPr>
                <w:rFonts w:ascii="Arial" w:cs="Arial" w:eastAsia="Arial" w:hAnsi="Arial"/>
                <w:color w:val="1A1714"/>
                <w:sz w:val="18"/>
                <w:szCs w:val="18"/>
              </w:rPr>
              <w:t xml:space="preserve">Remplacement de « pâtisserie » ou « gâteau ». Élève le registre.</w:t>
            </w:r>
          </w:p>
        </w:tc>
      </w:tr>
      <w:tr>
        <w:tc>
          <w:tcPr>
            <w:tcW w:type="dxa" w:w="2800"/>
            <w:tcBorders>
              <w:top w:val="single" w:color="D9D0C7" w:sz="1"/>
              <w:left w:val="single" w:color="D9D0C7" w:sz="1"/>
              <w:bottom w:val="single" w:color="D9D0C7" w:sz="1"/>
              <w:right w:val="single" w:color="D9D0C7" w:sz="1"/>
            </w:tcBorders>
            <w:shd w:fill="FAF5EF" w:val="clear"/>
            <w:tcMar>
              <w:top w:type="dxa" w:w="80"/>
              <w:left w:type="dxa" w:w="150"/>
              <w:bottom w:type="dxa" w:w="80"/>
              <w:right w:type="dxa" w:w="150"/>
            </w:tcMar>
          </w:tcPr>
          <w:p>
            <w:r>
              <w:rPr>
                <w:rFonts w:ascii="Georgia" w:cs="Georgia" w:eastAsia="Georgia" w:hAnsi="Georgia"/>
                <w:b/>
                <w:bCs/>
                <w:color w:val="1A1714"/>
                <w:sz w:val="20"/>
                <w:szCs w:val="20"/>
              </w:rPr>
              <w:t xml:space="preserve">Collection</w:t>
            </w:r>
          </w:p>
        </w:tc>
        <w:tc>
          <w:tcPr>
            <w:tcW w:type="dxa" w:w="6560"/>
            <w:tcBorders>
              <w:top w:val="single" w:color="D9D0C7" w:sz="1"/>
              <w:left w:val="single" w:color="D9D0C7" w:sz="1"/>
              <w:bottom w:val="single" w:color="D9D0C7" w:sz="1"/>
              <w:right w:val="single" w:color="D9D0C7" w:sz="1"/>
            </w:tcBorders>
            <w:shd w:fill="FFFFFF" w:val="clear"/>
            <w:tcMar>
              <w:top w:type="dxa" w:w="80"/>
              <w:left w:type="dxa" w:w="150"/>
              <w:bottom w:type="dxa" w:w="80"/>
              <w:right w:type="dxa" w:w="150"/>
            </w:tcMar>
          </w:tcPr>
          <w:p>
            <w:r>
              <w:rPr>
                <w:rFonts w:ascii="Arial" w:cs="Arial" w:eastAsia="Arial" w:hAnsi="Arial"/>
                <w:color w:val="1A1714"/>
                <w:sz w:val="18"/>
                <w:szCs w:val="18"/>
              </w:rPr>
              <w:t xml:space="preserve">Au lieu de « carte » ou « catalogue ». Emprunter le vocabulaire de la mode/joaillerie.</w:t>
            </w:r>
          </w:p>
        </w:tc>
      </w:tr>
      <w:tr>
        <w:tc>
          <w:tcPr>
            <w:tcW w:type="dxa" w:w="2800"/>
            <w:tcBorders>
              <w:top w:val="single" w:color="D9D0C7" w:sz="1"/>
              <w:left w:val="single" w:color="D9D0C7" w:sz="1"/>
              <w:bottom w:val="single" w:color="D9D0C7" w:sz="1"/>
              <w:right w:val="single" w:color="D9D0C7" w:sz="1"/>
            </w:tcBorders>
            <w:shd w:fill="FAF5EF" w:val="clear"/>
            <w:tcMar>
              <w:top w:type="dxa" w:w="80"/>
              <w:left w:type="dxa" w:w="150"/>
              <w:bottom w:type="dxa" w:w="80"/>
              <w:right w:type="dxa" w:w="150"/>
            </w:tcMar>
          </w:tcPr>
          <w:p>
            <w:r>
              <w:rPr>
                <w:rFonts w:ascii="Georgia" w:cs="Georgia" w:eastAsia="Georgia" w:hAnsi="Georgia"/>
                <w:b/>
                <w:bCs/>
                <w:color w:val="1A1714"/>
                <w:sz w:val="20"/>
                <w:szCs w:val="20"/>
              </w:rPr>
              <w:t xml:space="preserve">Pièce</w:t>
            </w:r>
          </w:p>
        </w:tc>
        <w:tc>
          <w:tcPr>
            <w:tcW w:type="dxa" w:w="6560"/>
            <w:tcBorders>
              <w:top w:val="single" w:color="D9D0C7" w:sz="1"/>
              <w:left w:val="single" w:color="D9D0C7" w:sz="1"/>
              <w:bottom w:val="single" w:color="D9D0C7" w:sz="1"/>
              <w:right w:val="single" w:color="D9D0C7" w:sz="1"/>
            </w:tcBorders>
            <w:shd w:fill="FFFFFF" w:val="clear"/>
            <w:tcMar>
              <w:top w:type="dxa" w:w="80"/>
              <w:left w:type="dxa" w:w="150"/>
              <w:bottom w:type="dxa" w:w="80"/>
              <w:right w:type="dxa" w:w="150"/>
            </w:tcMar>
          </w:tcPr>
          <w:p>
            <w:r>
              <w:rPr>
                <w:rFonts w:ascii="Arial" w:cs="Arial" w:eastAsia="Arial" w:hAnsi="Arial"/>
                <w:color w:val="1A1714"/>
                <w:sz w:val="18"/>
                <w:szCs w:val="18"/>
              </w:rPr>
              <w:t xml:space="preserve">Au lieu de « produit » ou « article ». Comme en haute couture ou en orfèvrerie.</w:t>
            </w:r>
          </w:p>
        </w:tc>
      </w:tr>
      <w:tr>
        <w:tc>
          <w:tcPr>
            <w:tcW w:type="dxa" w:w="2800"/>
            <w:tcBorders>
              <w:top w:val="single" w:color="D9D0C7" w:sz="1"/>
              <w:left w:val="single" w:color="D9D0C7" w:sz="1"/>
              <w:bottom w:val="single" w:color="D9D0C7" w:sz="1"/>
              <w:right w:val="single" w:color="D9D0C7" w:sz="1"/>
            </w:tcBorders>
            <w:shd w:fill="FAF5EF" w:val="clear"/>
            <w:tcMar>
              <w:top w:type="dxa" w:w="80"/>
              <w:left w:type="dxa" w:w="150"/>
              <w:bottom w:type="dxa" w:w="80"/>
              <w:right w:type="dxa" w:w="150"/>
            </w:tcMar>
          </w:tcPr>
          <w:p>
            <w:r>
              <w:rPr>
                <w:rFonts w:ascii="Georgia" w:cs="Georgia" w:eastAsia="Georgia" w:hAnsi="Georgia"/>
                <w:b/>
                <w:bCs/>
                <w:color w:val="1A1714"/>
                <w:sz w:val="20"/>
                <w:szCs w:val="20"/>
              </w:rPr>
              <w:t xml:space="preserve">Atelier</w:t>
            </w:r>
          </w:p>
        </w:tc>
        <w:tc>
          <w:tcPr>
            <w:tcW w:type="dxa" w:w="6560"/>
            <w:tcBorders>
              <w:top w:val="single" w:color="D9D0C7" w:sz="1"/>
              <w:left w:val="single" w:color="D9D0C7" w:sz="1"/>
              <w:bottom w:val="single" w:color="D9D0C7" w:sz="1"/>
              <w:right w:val="single" w:color="D9D0C7" w:sz="1"/>
            </w:tcBorders>
            <w:shd w:fill="FFFFFF" w:val="clear"/>
            <w:tcMar>
              <w:top w:type="dxa" w:w="80"/>
              <w:left w:type="dxa" w:w="150"/>
              <w:bottom w:type="dxa" w:w="80"/>
              <w:right w:type="dxa" w:w="150"/>
            </w:tcMar>
          </w:tcPr>
          <w:p>
            <w:r>
              <w:rPr>
                <w:rFonts w:ascii="Arial" w:cs="Arial" w:eastAsia="Arial" w:hAnsi="Arial"/>
                <w:color w:val="1A1714"/>
                <w:sz w:val="18"/>
                <w:szCs w:val="18"/>
              </w:rPr>
              <w:t xml:space="preserve">Au lieu de « laboratoire » ou « cuisine ». Connote l’artisanat et la création.</w:t>
            </w:r>
          </w:p>
        </w:tc>
      </w:tr>
      <w:tr>
        <w:tc>
          <w:tcPr>
            <w:tcW w:type="dxa" w:w="2800"/>
            <w:tcBorders>
              <w:top w:val="single" w:color="D9D0C7" w:sz="1"/>
              <w:left w:val="single" w:color="D9D0C7" w:sz="1"/>
              <w:bottom w:val="single" w:color="D9D0C7" w:sz="1"/>
              <w:right w:val="single" w:color="D9D0C7" w:sz="1"/>
            </w:tcBorders>
            <w:shd w:fill="FAF5EF" w:val="clear"/>
            <w:tcMar>
              <w:top w:type="dxa" w:w="80"/>
              <w:left w:type="dxa" w:w="150"/>
              <w:bottom w:type="dxa" w:w="80"/>
              <w:right w:type="dxa" w:w="150"/>
            </w:tcMar>
          </w:tcPr>
          <w:p>
            <w:r>
              <w:rPr>
                <w:rFonts w:ascii="Georgia" w:cs="Georgia" w:eastAsia="Georgia" w:hAnsi="Georgia"/>
                <w:b/>
                <w:bCs/>
                <w:color w:val="1A1714"/>
                <w:sz w:val="20"/>
                <w:szCs w:val="20"/>
              </w:rPr>
              <w:t xml:space="preserve">Moment Mirage</w:t>
            </w:r>
          </w:p>
        </w:tc>
        <w:tc>
          <w:tcPr>
            <w:tcW w:type="dxa" w:w="6560"/>
            <w:tcBorders>
              <w:top w:val="single" w:color="D9D0C7" w:sz="1"/>
              <w:left w:val="single" w:color="D9D0C7" w:sz="1"/>
              <w:bottom w:val="single" w:color="D9D0C7" w:sz="1"/>
              <w:right w:val="single" w:color="D9D0C7" w:sz="1"/>
            </w:tcBorders>
            <w:shd w:fill="FFFFFF" w:val="clear"/>
            <w:tcMar>
              <w:top w:type="dxa" w:w="80"/>
              <w:left w:type="dxa" w:w="150"/>
              <w:bottom w:type="dxa" w:w="80"/>
              <w:right w:type="dxa" w:w="150"/>
            </w:tcMar>
          </w:tcPr>
          <w:p>
            <w:r>
              <w:rPr>
                <w:rFonts w:ascii="Arial" w:cs="Arial" w:eastAsia="Arial" w:hAnsi="Arial"/>
                <w:color w:val="1A1714"/>
                <w:sz w:val="18"/>
                <w:szCs w:val="18"/>
              </w:rPr>
              <w:t xml:space="preserve">Le nom propre de l’expérience client. « Offrez un Moment Mirage à vos convives. »</w:t>
            </w:r>
          </w:p>
        </w:tc>
      </w:tr>
      <w:tr>
        <w:tc>
          <w:tcPr>
            <w:tcW w:type="dxa" w:w="2800"/>
            <w:tcBorders>
              <w:top w:val="single" w:color="D9D0C7" w:sz="1"/>
              <w:left w:val="single" w:color="D9D0C7" w:sz="1"/>
              <w:bottom w:val="single" w:color="D9D0C7" w:sz="1"/>
              <w:right w:val="single" w:color="D9D0C7" w:sz="1"/>
            </w:tcBorders>
            <w:shd w:fill="FAF5EF" w:val="clear"/>
            <w:tcMar>
              <w:top w:type="dxa" w:w="80"/>
              <w:left w:type="dxa" w:w="150"/>
              <w:bottom w:type="dxa" w:w="80"/>
              <w:right w:type="dxa" w:w="150"/>
            </w:tcMar>
          </w:tcPr>
          <w:p>
            <w:r>
              <w:rPr>
                <w:rFonts w:ascii="Georgia" w:cs="Georgia" w:eastAsia="Georgia" w:hAnsi="Georgia"/>
                <w:b/>
                <w:bCs/>
                <w:color w:val="1A1714"/>
                <w:sz w:val="20"/>
                <w:szCs w:val="20"/>
              </w:rPr>
              <w:t xml:space="preserve">Dévoiler</w:t>
            </w:r>
          </w:p>
        </w:tc>
        <w:tc>
          <w:tcPr>
            <w:tcW w:type="dxa" w:w="6560"/>
            <w:tcBorders>
              <w:top w:val="single" w:color="D9D0C7" w:sz="1"/>
              <w:left w:val="single" w:color="D9D0C7" w:sz="1"/>
              <w:bottom w:val="single" w:color="D9D0C7" w:sz="1"/>
              <w:right w:val="single" w:color="D9D0C7" w:sz="1"/>
            </w:tcBorders>
            <w:shd w:fill="FFFFFF" w:val="clear"/>
            <w:tcMar>
              <w:top w:type="dxa" w:w="80"/>
              <w:left w:type="dxa" w:w="150"/>
              <w:bottom w:type="dxa" w:w="80"/>
              <w:right w:type="dxa" w:w="150"/>
            </w:tcMar>
          </w:tcPr>
          <w:p>
            <w:r>
              <w:rPr>
                <w:rFonts w:ascii="Arial" w:cs="Arial" w:eastAsia="Arial" w:hAnsi="Arial"/>
                <w:color w:val="1A1714"/>
                <w:sz w:val="18"/>
                <w:szCs w:val="18"/>
              </w:rPr>
              <w:t xml:space="preserve">Pour les lancements. « Nous dévoilons notre nouvelle pièce. »</w:t>
            </w:r>
          </w:p>
        </w:tc>
      </w:tr>
    </w:tbl>
    <w:p>
      <w:pPr>
        <w:spacing w:after="200" w:before="200"/>
      </w:pPr>
    </w:p>
    <w:p>
      <w:pPr>
        <w:spacing w:after="120" w:before="280"/>
      </w:pPr>
      <w:r>
        <w:rPr>
          <w:rFonts w:ascii="Georgia" w:cs="Georgia" w:eastAsia="Georgia" w:hAnsi="Georgia"/>
          <w:b/>
          <w:bCs/>
          <w:i/>
          <w:iCs/>
          <w:color w:val="1A1714"/>
          <w:sz w:val="22"/>
          <w:szCs w:val="22"/>
        </w:rPr>
        <w:t xml:space="preserve">Mots interdits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9D0C7" w:sz="1"/>
              <w:left w:val="single" w:color="D9D0C7" w:sz="1"/>
              <w:bottom w:val="single" w:color="D9D0C7" w:sz="1"/>
              <w:right w:val="single" w:color="D9D0C7" w:sz="1"/>
            </w:tcBorders>
            <w:shd w:fill="1A1714" w:val="clear"/>
            <w:tcMar>
              <w:top w:type="dxa" w:w="80"/>
              <w:left w:type="dxa" w:w="150"/>
              <w:bottom w:type="dxa" w:w="80"/>
              <w:right w:type="dxa" w:w="150"/>
            </w:tcMar>
          </w:tcPr>
          <w:p>
            <w:r>
              <w:rPr>
                <w:rFonts w:ascii="Arial" w:cs="Arial" w:eastAsia="Arial" w:hAnsi="Arial"/>
                <w:b/>
                <w:bCs/>
                <w:color w:val="FFFFFF"/>
                <w:sz w:val="16"/>
                <w:szCs w:val="16"/>
              </w:rPr>
              <w:t xml:space="preserve">Interdit</w:t>
            </w:r>
          </w:p>
        </w:tc>
        <w:tc>
          <w:tcPr>
            <w:tcW w:type="dxa" w:w="3000"/>
            <w:tcBorders>
              <w:top w:val="single" w:color="D9D0C7" w:sz="1"/>
              <w:left w:val="single" w:color="D9D0C7" w:sz="1"/>
              <w:bottom w:val="single" w:color="D9D0C7" w:sz="1"/>
              <w:right w:val="single" w:color="D9D0C7" w:sz="1"/>
            </w:tcBorders>
            <w:shd w:fill="1A1714" w:val="clear"/>
            <w:tcMar>
              <w:top w:type="dxa" w:w="80"/>
              <w:left w:type="dxa" w:w="150"/>
              <w:bottom w:type="dxa" w:w="80"/>
              <w:right w:type="dxa" w:w="150"/>
            </w:tcMar>
          </w:tcPr>
          <w:p>
            <w:r>
              <w:rPr>
                <w:rFonts w:ascii="Arial" w:cs="Arial" w:eastAsia="Arial" w:hAnsi="Arial"/>
                <w:b/>
                <w:bCs/>
                <w:color w:val="FFFFFF"/>
                <w:sz w:val="16"/>
                <w:szCs w:val="16"/>
              </w:rPr>
              <w:t xml:space="preserve">Remplacer par</w:t>
            </w:r>
          </w:p>
        </w:tc>
        <w:tc>
          <w:tcPr>
            <w:tcW w:type="dxa" w:w="3360"/>
            <w:tcBorders>
              <w:top w:val="single" w:color="D9D0C7" w:sz="1"/>
              <w:left w:val="single" w:color="D9D0C7" w:sz="1"/>
              <w:bottom w:val="single" w:color="D9D0C7" w:sz="1"/>
              <w:right w:val="single" w:color="D9D0C7" w:sz="1"/>
            </w:tcBorders>
            <w:shd w:fill="1A1714" w:val="clear"/>
            <w:tcMar>
              <w:top w:type="dxa" w:w="80"/>
              <w:left w:type="dxa" w:w="150"/>
              <w:bottom w:type="dxa" w:w="80"/>
              <w:right w:type="dxa" w:w="150"/>
            </w:tcMar>
          </w:tcPr>
          <w:p>
            <w:r>
              <w:rPr>
                <w:rFonts w:ascii="Arial" w:cs="Arial" w:eastAsia="Arial" w:hAnsi="Arial"/>
                <w:b/>
                <w:bCs/>
                <w:color w:val="FFFFFF"/>
                <w:sz w:val="16"/>
                <w:szCs w:val="16"/>
              </w:rPr>
              <w:t xml:space="preserve">Pourquoi</w:t>
            </w:r>
          </w:p>
        </w:tc>
      </w:tr>
      <w:tr>
        <w:tc>
          <w:tcPr>
            <w:tcW w:type="dxa" w:w="3000"/>
            <w:tcBorders>
              <w:top w:val="single" w:color="D9D0C7" w:sz="1"/>
              <w:left w:val="single" w:color="D9D0C7" w:sz="1"/>
              <w:bottom w:val="single" w:color="D9D0C7" w:sz="1"/>
              <w:right w:val="single" w:color="D9D0C7" w:sz="1"/>
            </w:tcBorders>
            <w:shd w:fill="FAF5EF" w:val="clear"/>
            <w:tcMar>
              <w:top w:type="dxa" w:w="60"/>
              <w:left w:type="dxa" w:w="150"/>
              <w:bottom w:type="dxa" w:w="60"/>
              <w:right w:type="dxa" w:w="150"/>
            </w:tcMar>
          </w:tcPr>
          <w:p>
            <w:r>
              <w:rPr>
                <w:rFonts w:ascii="Arial" w:cs="Arial" w:eastAsia="Arial" w:hAnsi="Arial"/>
                <w:b/>
                <w:bCs/>
                <w:color w:val="8C3A3A"/>
                <w:sz w:val="18"/>
                <w:szCs w:val="18"/>
              </w:rPr>
              <w:t xml:space="preserve">Gâteau</w:t>
            </w:r>
          </w:p>
        </w:tc>
        <w:tc>
          <w:tcPr>
            <w:tcW w:type="dxa" w:w="3000"/>
            <w:tcBorders>
              <w:top w:val="single" w:color="D9D0C7" w:sz="1"/>
              <w:left w:val="single" w:color="D9D0C7" w:sz="1"/>
              <w:bottom w:val="single" w:color="D9D0C7" w:sz="1"/>
              <w:right w:val="single" w:color="D9D0C7" w:sz="1"/>
            </w:tcBorders>
            <w:shd w:fill="FFFFFF" w:val="clear"/>
            <w:tcMar>
              <w:top w:type="dxa" w:w="60"/>
              <w:left w:type="dxa" w:w="150"/>
              <w:bottom w:type="dxa" w:w="60"/>
              <w:right w:type="dxa" w:w="150"/>
            </w:tcMar>
          </w:tcPr>
          <w:p>
            <w:r>
              <w:rPr>
                <w:rFonts w:ascii="Arial" w:cs="Arial" w:eastAsia="Arial" w:hAnsi="Arial"/>
                <w:color w:val="4A7C59"/>
                <w:sz w:val="18"/>
                <w:szCs w:val="18"/>
              </w:rPr>
              <w:t xml:space="preserve">Sculpture / Pièce / Création</w:t>
            </w:r>
          </w:p>
        </w:tc>
        <w:tc>
          <w:tcPr>
            <w:tcW w:type="dxa" w:w="3360"/>
            <w:tcBorders>
              <w:top w:val="single" w:color="D9D0C7" w:sz="1"/>
              <w:left w:val="single" w:color="D9D0C7" w:sz="1"/>
              <w:bottom w:val="single" w:color="D9D0C7" w:sz="1"/>
              <w:right w:val="single" w:color="D9D0C7" w:sz="1"/>
            </w:tcBorders>
            <w:shd w:fill="FFFFFF" w:val="clear"/>
            <w:tcMar>
              <w:top w:type="dxa" w:w="60"/>
              <w:left w:type="dxa" w:w="150"/>
              <w:bottom w:type="dxa" w:w="60"/>
              <w:right w:type="dxa" w:w="150"/>
            </w:tcMar>
          </w:tcPr>
          <w:p>
            <w:r>
              <w:rPr>
                <w:rFonts w:ascii="Arial" w:cs="Arial" w:eastAsia="Arial" w:hAnsi="Arial"/>
                <w:color w:val="6B6560"/>
                <w:sz w:val="18"/>
                <w:szCs w:val="18"/>
              </w:rPr>
              <w:t xml:space="preserve">Trop commun, tue le premium</w:t>
            </w:r>
          </w:p>
        </w:tc>
      </w:tr>
      <w:tr>
        <w:tc>
          <w:tcPr>
            <w:tcW w:type="dxa" w:w="3000"/>
            <w:tcBorders>
              <w:top w:val="single" w:color="D9D0C7" w:sz="1"/>
              <w:left w:val="single" w:color="D9D0C7" w:sz="1"/>
              <w:bottom w:val="single" w:color="D9D0C7" w:sz="1"/>
              <w:right w:val="single" w:color="D9D0C7" w:sz="1"/>
            </w:tcBorders>
            <w:shd w:fill="FAF5EF" w:val="clear"/>
            <w:tcMar>
              <w:top w:type="dxa" w:w="60"/>
              <w:left w:type="dxa" w:w="150"/>
              <w:bottom w:type="dxa" w:w="60"/>
              <w:right w:type="dxa" w:w="150"/>
            </w:tcMar>
          </w:tcPr>
          <w:p>
            <w:r>
              <w:rPr>
                <w:rFonts w:ascii="Arial" w:cs="Arial" w:eastAsia="Arial" w:hAnsi="Arial"/>
                <w:b/>
                <w:bCs/>
                <w:color w:val="8C3A3A"/>
                <w:sz w:val="18"/>
                <w:szCs w:val="18"/>
              </w:rPr>
              <w:t xml:space="preserve">Produit</w:t>
            </w:r>
          </w:p>
        </w:tc>
        <w:tc>
          <w:tcPr>
            <w:tcW w:type="dxa" w:w="3000"/>
            <w:tcBorders>
              <w:top w:val="single" w:color="D9D0C7" w:sz="1"/>
              <w:left w:val="single" w:color="D9D0C7" w:sz="1"/>
              <w:bottom w:val="single" w:color="D9D0C7" w:sz="1"/>
              <w:right w:val="single" w:color="D9D0C7" w:sz="1"/>
            </w:tcBorders>
            <w:shd w:fill="FFFFFF" w:val="clear"/>
            <w:tcMar>
              <w:top w:type="dxa" w:w="60"/>
              <w:left w:type="dxa" w:w="150"/>
              <w:bottom w:type="dxa" w:w="60"/>
              <w:right w:type="dxa" w:w="150"/>
            </w:tcMar>
          </w:tcPr>
          <w:p>
            <w:r>
              <w:rPr>
                <w:rFonts w:ascii="Arial" w:cs="Arial" w:eastAsia="Arial" w:hAnsi="Arial"/>
                <w:color w:val="4A7C59"/>
                <w:sz w:val="18"/>
                <w:szCs w:val="18"/>
              </w:rPr>
              <w:t xml:space="preserve">Pièce / Œuvre</w:t>
            </w:r>
          </w:p>
        </w:tc>
        <w:tc>
          <w:tcPr>
            <w:tcW w:type="dxa" w:w="3360"/>
            <w:tcBorders>
              <w:top w:val="single" w:color="D9D0C7" w:sz="1"/>
              <w:left w:val="single" w:color="D9D0C7" w:sz="1"/>
              <w:bottom w:val="single" w:color="D9D0C7" w:sz="1"/>
              <w:right w:val="single" w:color="D9D0C7" w:sz="1"/>
            </w:tcBorders>
            <w:shd w:fill="FFFFFF" w:val="clear"/>
            <w:tcMar>
              <w:top w:type="dxa" w:w="60"/>
              <w:left w:type="dxa" w:w="150"/>
              <w:bottom w:type="dxa" w:w="60"/>
              <w:right w:type="dxa" w:w="150"/>
            </w:tcMar>
          </w:tcPr>
          <w:p>
            <w:r>
              <w:rPr>
                <w:rFonts w:ascii="Arial" w:cs="Arial" w:eastAsia="Arial" w:hAnsi="Arial"/>
                <w:color w:val="6B6560"/>
                <w:sz w:val="18"/>
                <w:szCs w:val="18"/>
              </w:rPr>
              <w:t xml:space="preserve">Industriel, antithétique au luxe</w:t>
            </w:r>
          </w:p>
        </w:tc>
      </w:tr>
      <w:tr>
        <w:tc>
          <w:tcPr>
            <w:tcW w:type="dxa" w:w="3000"/>
            <w:tcBorders>
              <w:top w:val="single" w:color="D9D0C7" w:sz="1"/>
              <w:left w:val="single" w:color="D9D0C7" w:sz="1"/>
              <w:bottom w:val="single" w:color="D9D0C7" w:sz="1"/>
              <w:right w:val="single" w:color="D9D0C7" w:sz="1"/>
            </w:tcBorders>
            <w:shd w:fill="FAF5EF" w:val="clear"/>
            <w:tcMar>
              <w:top w:type="dxa" w:w="60"/>
              <w:left w:type="dxa" w:w="150"/>
              <w:bottom w:type="dxa" w:w="60"/>
              <w:right w:type="dxa" w:w="150"/>
            </w:tcMar>
          </w:tcPr>
          <w:p>
            <w:r>
              <w:rPr>
                <w:rFonts w:ascii="Arial" w:cs="Arial" w:eastAsia="Arial" w:hAnsi="Arial"/>
                <w:b/>
                <w:bCs/>
                <w:color w:val="8C3A3A"/>
                <w:sz w:val="18"/>
                <w:szCs w:val="18"/>
              </w:rPr>
              <w:t xml:space="preserve">Faux fruit</w:t>
            </w:r>
          </w:p>
        </w:tc>
        <w:tc>
          <w:tcPr>
            <w:tcW w:type="dxa" w:w="3000"/>
            <w:tcBorders>
              <w:top w:val="single" w:color="D9D0C7" w:sz="1"/>
              <w:left w:val="single" w:color="D9D0C7" w:sz="1"/>
              <w:bottom w:val="single" w:color="D9D0C7" w:sz="1"/>
              <w:right w:val="single" w:color="D9D0C7" w:sz="1"/>
            </w:tcBorders>
            <w:shd w:fill="FFFFFF" w:val="clear"/>
            <w:tcMar>
              <w:top w:type="dxa" w:w="60"/>
              <w:left w:type="dxa" w:w="150"/>
              <w:bottom w:type="dxa" w:w="60"/>
              <w:right w:type="dxa" w:w="150"/>
            </w:tcMar>
          </w:tcPr>
          <w:p>
            <w:r>
              <w:rPr>
                <w:rFonts w:ascii="Arial" w:cs="Arial" w:eastAsia="Arial" w:hAnsi="Arial"/>
                <w:color w:val="4A7C59"/>
                <w:sz w:val="18"/>
                <w:szCs w:val="18"/>
              </w:rPr>
              <w:t xml:space="preserve">Trompe-l’œil / Illusion</w:t>
            </w:r>
          </w:p>
        </w:tc>
        <w:tc>
          <w:tcPr>
            <w:tcW w:type="dxa" w:w="3360"/>
            <w:tcBorders>
              <w:top w:val="single" w:color="D9D0C7" w:sz="1"/>
              <w:left w:val="single" w:color="D9D0C7" w:sz="1"/>
              <w:bottom w:val="single" w:color="D9D0C7" w:sz="1"/>
              <w:right w:val="single" w:color="D9D0C7" w:sz="1"/>
            </w:tcBorders>
            <w:shd w:fill="FFFFFF" w:val="clear"/>
            <w:tcMar>
              <w:top w:type="dxa" w:w="60"/>
              <w:left w:type="dxa" w:w="150"/>
              <w:bottom w:type="dxa" w:w="60"/>
              <w:right w:type="dxa" w:w="150"/>
            </w:tcMar>
          </w:tcPr>
          <w:p>
            <w:r>
              <w:rPr>
                <w:rFonts w:ascii="Arial" w:cs="Arial" w:eastAsia="Arial" w:hAnsi="Arial"/>
                <w:color w:val="6B6560"/>
                <w:sz w:val="18"/>
                <w:szCs w:val="18"/>
              </w:rPr>
              <w:t xml:space="preserve">« Faux » connote la contrefaçon</w:t>
            </w:r>
          </w:p>
        </w:tc>
      </w:tr>
      <w:tr>
        <w:tc>
          <w:tcPr>
            <w:tcW w:type="dxa" w:w="3000"/>
            <w:tcBorders>
              <w:top w:val="single" w:color="D9D0C7" w:sz="1"/>
              <w:left w:val="single" w:color="D9D0C7" w:sz="1"/>
              <w:bottom w:val="single" w:color="D9D0C7" w:sz="1"/>
              <w:right w:val="single" w:color="D9D0C7" w:sz="1"/>
            </w:tcBorders>
            <w:shd w:fill="FAF5EF" w:val="clear"/>
            <w:tcMar>
              <w:top w:type="dxa" w:w="60"/>
              <w:left w:type="dxa" w:w="150"/>
              <w:bottom w:type="dxa" w:w="60"/>
              <w:right w:type="dxa" w:w="150"/>
            </w:tcMar>
          </w:tcPr>
          <w:p>
            <w:r>
              <w:rPr>
                <w:rFonts w:ascii="Arial" w:cs="Arial" w:eastAsia="Arial" w:hAnsi="Arial"/>
                <w:b/>
                <w:bCs/>
                <w:color w:val="8C3A3A"/>
                <w:sz w:val="18"/>
                <w:szCs w:val="18"/>
              </w:rPr>
              <w:t xml:space="preserve">Pas cher / Abordable</w:t>
            </w:r>
          </w:p>
        </w:tc>
        <w:tc>
          <w:tcPr>
            <w:tcW w:type="dxa" w:w="3000"/>
            <w:tcBorders>
              <w:top w:val="single" w:color="D9D0C7" w:sz="1"/>
              <w:left w:val="single" w:color="D9D0C7" w:sz="1"/>
              <w:bottom w:val="single" w:color="D9D0C7" w:sz="1"/>
              <w:right w:val="single" w:color="D9D0C7" w:sz="1"/>
            </w:tcBorders>
            <w:shd w:fill="FFFFFF" w:val="clear"/>
            <w:tcMar>
              <w:top w:type="dxa" w:w="60"/>
              <w:left w:type="dxa" w:w="150"/>
              <w:bottom w:type="dxa" w:w="60"/>
              <w:right w:type="dxa" w:w="150"/>
            </w:tcMar>
          </w:tcPr>
          <w:p>
            <w:r>
              <w:rPr>
                <w:rFonts w:ascii="Arial" w:cs="Arial" w:eastAsia="Arial" w:hAnsi="Arial"/>
                <w:color w:val="4A7C59"/>
                <w:sz w:val="18"/>
                <w:szCs w:val="18"/>
              </w:rPr>
              <w:t xml:space="preserve">Accessible / Dès 5€ la pièce</w:t>
            </w:r>
          </w:p>
        </w:tc>
        <w:tc>
          <w:tcPr>
            <w:tcW w:type="dxa" w:w="3360"/>
            <w:tcBorders>
              <w:top w:val="single" w:color="D9D0C7" w:sz="1"/>
              <w:left w:val="single" w:color="D9D0C7" w:sz="1"/>
              <w:bottom w:val="single" w:color="D9D0C7" w:sz="1"/>
              <w:right w:val="single" w:color="D9D0C7" w:sz="1"/>
            </w:tcBorders>
            <w:shd w:fill="FFFFFF" w:val="clear"/>
            <w:tcMar>
              <w:top w:type="dxa" w:w="60"/>
              <w:left w:type="dxa" w:w="150"/>
              <w:bottom w:type="dxa" w:w="60"/>
              <w:right w:type="dxa" w:w="150"/>
            </w:tcMar>
          </w:tcPr>
          <w:p>
            <w:r>
              <w:rPr>
                <w:rFonts w:ascii="Arial" w:cs="Arial" w:eastAsia="Arial" w:hAnsi="Arial"/>
                <w:color w:val="6B6560"/>
                <w:sz w:val="18"/>
                <w:szCs w:val="18"/>
              </w:rPr>
              <w:t xml:space="preserve">Dévalorise le positionnement</w:t>
            </w:r>
          </w:p>
        </w:tc>
      </w:tr>
      <w:tr>
        <w:tc>
          <w:tcPr>
            <w:tcW w:type="dxa" w:w="3000"/>
            <w:tcBorders>
              <w:top w:val="single" w:color="D9D0C7" w:sz="1"/>
              <w:left w:val="single" w:color="D9D0C7" w:sz="1"/>
              <w:bottom w:val="single" w:color="D9D0C7" w:sz="1"/>
              <w:right w:val="single" w:color="D9D0C7" w:sz="1"/>
            </w:tcBorders>
            <w:shd w:fill="FAF5EF" w:val="clear"/>
            <w:tcMar>
              <w:top w:type="dxa" w:w="60"/>
              <w:left w:type="dxa" w:w="150"/>
              <w:bottom w:type="dxa" w:w="60"/>
              <w:right w:type="dxa" w:w="150"/>
            </w:tcMar>
          </w:tcPr>
          <w:p>
            <w:r>
              <w:rPr>
                <w:rFonts w:ascii="Arial" w:cs="Arial" w:eastAsia="Arial" w:hAnsi="Arial"/>
                <w:b/>
                <w:bCs/>
                <w:color w:val="8C3A3A"/>
                <w:sz w:val="18"/>
                <w:szCs w:val="18"/>
              </w:rPr>
              <w:t xml:space="preserve">Dessert</w:t>
            </w:r>
          </w:p>
        </w:tc>
        <w:tc>
          <w:tcPr>
            <w:tcW w:type="dxa" w:w="3000"/>
            <w:tcBorders>
              <w:top w:val="single" w:color="D9D0C7" w:sz="1"/>
              <w:left w:val="single" w:color="D9D0C7" w:sz="1"/>
              <w:bottom w:val="single" w:color="D9D0C7" w:sz="1"/>
              <w:right w:val="single" w:color="D9D0C7" w:sz="1"/>
            </w:tcBorders>
            <w:shd w:fill="FFFFFF" w:val="clear"/>
            <w:tcMar>
              <w:top w:type="dxa" w:w="60"/>
              <w:left w:type="dxa" w:w="150"/>
              <w:bottom w:type="dxa" w:w="60"/>
              <w:right w:type="dxa" w:w="150"/>
            </w:tcMar>
          </w:tcPr>
          <w:p>
            <w:r>
              <w:rPr>
                <w:rFonts w:ascii="Arial" w:cs="Arial" w:eastAsia="Arial" w:hAnsi="Arial"/>
                <w:color w:val="4A7C59"/>
                <w:sz w:val="18"/>
                <w:szCs w:val="18"/>
              </w:rPr>
              <w:t xml:space="preserve">Création / Expérience</w:t>
            </w:r>
          </w:p>
        </w:tc>
        <w:tc>
          <w:tcPr>
            <w:tcW w:type="dxa" w:w="3360"/>
            <w:tcBorders>
              <w:top w:val="single" w:color="D9D0C7" w:sz="1"/>
              <w:left w:val="single" w:color="D9D0C7" w:sz="1"/>
              <w:bottom w:val="single" w:color="D9D0C7" w:sz="1"/>
              <w:right w:val="single" w:color="D9D0C7" w:sz="1"/>
            </w:tcBorders>
            <w:shd w:fill="FFFFFF" w:val="clear"/>
            <w:tcMar>
              <w:top w:type="dxa" w:w="60"/>
              <w:left w:type="dxa" w:w="150"/>
              <w:bottom w:type="dxa" w:w="60"/>
              <w:right w:type="dxa" w:w="150"/>
            </w:tcMar>
          </w:tcPr>
          <w:p>
            <w:r>
              <w:rPr>
                <w:rFonts w:ascii="Arial" w:cs="Arial" w:eastAsia="Arial" w:hAnsi="Arial"/>
                <w:color w:val="6B6560"/>
                <w:sz w:val="18"/>
                <w:szCs w:val="18"/>
              </w:rPr>
              <w:t xml:space="preserve">Réducteur pour un objet sensoriel</w:t>
            </w:r>
          </w:p>
        </w:tc>
      </w:tr>
      <w:tr>
        <w:tc>
          <w:tcPr>
            <w:tcW w:type="dxa" w:w="3000"/>
            <w:tcBorders>
              <w:top w:val="single" w:color="D9D0C7" w:sz="1"/>
              <w:left w:val="single" w:color="D9D0C7" w:sz="1"/>
              <w:bottom w:val="single" w:color="D9D0C7" w:sz="1"/>
              <w:right w:val="single" w:color="D9D0C7" w:sz="1"/>
            </w:tcBorders>
            <w:shd w:fill="FAF5EF" w:val="clear"/>
            <w:tcMar>
              <w:top w:type="dxa" w:w="60"/>
              <w:left w:type="dxa" w:w="150"/>
              <w:bottom w:type="dxa" w:w="60"/>
              <w:right w:type="dxa" w:w="150"/>
            </w:tcMar>
          </w:tcPr>
          <w:p>
            <w:r>
              <w:rPr>
                <w:rFonts w:ascii="Arial" w:cs="Arial" w:eastAsia="Arial" w:hAnsi="Arial"/>
                <w:b/>
                <w:bCs/>
                <w:color w:val="8C3A3A"/>
                <w:sz w:val="18"/>
                <w:szCs w:val="18"/>
              </w:rPr>
              <w:t xml:space="preserve">Usine / Fabrication</w:t>
            </w:r>
          </w:p>
        </w:tc>
        <w:tc>
          <w:tcPr>
            <w:tcW w:type="dxa" w:w="3000"/>
            <w:tcBorders>
              <w:top w:val="single" w:color="D9D0C7" w:sz="1"/>
              <w:left w:val="single" w:color="D9D0C7" w:sz="1"/>
              <w:bottom w:val="single" w:color="D9D0C7" w:sz="1"/>
              <w:right w:val="single" w:color="D9D0C7" w:sz="1"/>
            </w:tcBorders>
            <w:shd w:fill="FFFFFF" w:val="clear"/>
            <w:tcMar>
              <w:top w:type="dxa" w:w="60"/>
              <w:left w:type="dxa" w:w="150"/>
              <w:bottom w:type="dxa" w:w="60"/>
              <w:right w:type="dxa" w:w="150"/>
            </w:tcMar>
          </w:tcPr>
          <w:p>
            <w:r>
              <w:rPr>
                <w:rFonts w:ascii="Arial" w:cs="Arial" w:eastAsia="Arial" w:hAnsi="Arial"/>
                <w:color w:val="4A7C59"/>
                <w:sz w:val="18"/>
                <w:szCs w:val="18"/>
              </w:rPr>
              <w:t xml:space="preserve">Atelier / Création artisanale</w:t>
            </w:r>
          </w:p>
        </w:tc>
        <w:tc>
          <w:tcPr>
            <w:tcW w:type="dxa" w:w="3360"/>
            <w:tcBorders>
              <w:top w:val="single" w:color="D9D0C7" w:sz="1"/>
              <w:left w:val="single" w:color="D9D0C7" w:sz="1"/>
              <w:bottom w:val="single" w:color="D9D0C7" w:sz="1"/>
              <w:right w:val="single" w:color="D9D0C7" w:sz="1"/>
            </w:tcBorders>
            <w:shd w:fill="FFFFFF" w:val="clear"/>
            <w:tcMar>
              <w:top w:type="dxa" w:w="60"/>
              <w:left w:type="dxa" w:w="150"/>
              <w:bottom w:type="dxa" w:w="60"/>
              <w:right w:type="dxa" w:w="150"/>
            </w:tcMar>
          </w:tcPr>
          <w:p>
            <w:r>
              <w:rPr>
                <w:rFonts w:ascii="Arial" w:cs="Arial" w:eastAsia="Arial" w:hAnsi="Arial"/>
                <w:color w:val="6B6560"/>
                <w:sz w:val="18"/>
                <w:szCs w:val="18"/>
              </w:rPr>
              <w:t xml:space="preserve">Vocabulaire industriel à bannir</w:t>
            </w:r>
          </w:p>
        </w:tc>
      </w:tr>
      <w:tr>
        <w:tc>
          <w:tcPr>
            <w:tcW w:type="dxa" w:w="3000"/>
            <w:tcBorders>
              <w:top w:val="single" w:color="D9D0C7" w:sz="1"/>
              <w:left w:val="single" w:color="D9D0C7" w:sz="1"/>
              <w:bottom w:val="single" w:color="D9D0C7" w:sz="1"/>
              <w:right w:val="single" w:color="D9D0C7" w:sz="1"/>
            </w:tcBorders>
            <w:shd w:fill="FAF5EF" w:val="clear"/>
            <w:tcMar>
              <w:top w:type="dxa" w:w="60"/>
              <w:left w:type="dxa" w:w="150"/>
              <w:bottom w:type="dxa" w:w="60"/>
              <w:right w:type="dxa" w:w="150"/>
            </w:tcMar>
          </w:tcPr>
          <w:p>
            <w:r>
              <w:rPr>
                <w:rFonts w:ascii="Arial" w:cs="Arial" w:eastAsia="Arial" w:hAnsi="Arial"/>
                <w:b/>
                <w:bCs/>
                <w:color w:val="8C3A3A"/>
                <w:sz w:val="18"/>
                <w:szCs w:val="18"/>
              </w:rPr>
              <w:t xml:space="preserve">Client</w:t>
            </w:r>
          </w:p>
        </w:tc>
        <w:tc>
          <w:tcPr>
            <w:tcW w:type="dxa" w:w="3000"/>
            <w:tcBorders>
              <w:top w:val="single" w:color="D9D0C7" w:sz="1"/>
              <w:left w:val="single" w:color="D9D0C7" w:sz="1"/>
              <w:bottom w:val="single" w:color="D9D0C7" w:sz="1"/>
              <w:right w:val="single" w:color="D9D0C7" w:sz="1"/>
            </w:tcBorders>
            <w:shd w:fill="FFFFFF" w:val="clear"/>
            <w:tcMar>
              <w:top w:type="dxa" w:w="60"/>
              <w:left w:type="dxa" w:w="150"/>
              <w:bottom w:type="dxa" w:w="60"/>
              <w:right w:type="dxa" w:w="150"/>
            </w:tcMar>
          </w:tcPr>
          <w:p>
            <w:r>
              <w:rPr>
                <w:rFonts w:ascii="Arial" w:cs="Arial" w:eastAsia="Arial" w:hAnsi="Arial"/>
                <w:color w:val="4A7C59"/>
                <w:sz w:val="18"/>
                <w:szCs w:val="18"/>
              </w:rPr>
              <w:t xml:space="preserve">Partenaire / Hôte</w:t>
            </w:r>
          </w:p>
        </w:tc>
        <w:tc>
          <w:tcPr>
            <w:tcW w:type="dxa" w:w="3360"/>
            <w:tcBorders>
              <w:top w:val="single" w:color="D9D0C7" w:sz="1"/>
              <w:left w:val="single" w:color="D9D0C7" w:sz="1"/>
              <w:bottom w:val="single" w:color="D9D0C7" w:sz="1"/>
              <w:right w:val="single" w:color="D9D0C7" w:sz="1"/>
            </w:tcBorders>
            <w:shd w:fill="FFFFFF" w:val="clear"/>
            <w:tcMar>
              <w:top w:type="dxa" w:w="60"/>
              <w:left w:type="dxa" w:w="150"/>
              <w:bottom w:type="dxa" w:w="60"/>
              <w:right w:type="dxa" w:w="150"/>
            </w:tcMar>
          </w:tcPr>
          <w:p>
            <w:r>
              <w:rPr>
                <w:rFonts w:ascii="Arial" w:cs="Arial" w:eastAsia="Arial" w:hAnsi="Arial"/>
                <w:color w:val="6B6560"/>
                <w:sz w:val="18"/>
                <w:szCs w:val="18"/>
              </w:rPr>
              <w:t xml:space="preserve">En B2B, privilégier la relation</w:t>
            </w:r>
          </w:p>
        </w:tc>
      </w:tr>
    </w:tbl>
    <w:p>
      <w:r>
        <w:br w:type="page"/>
      </w:r>
    </w:p>
    <w:p>
      <w:pPr>
        <w:pBdr>
          <w:bottom w:val="single" w:color="A8895C" w:sz="2" w:space="6"/>
        </w:pBdr>
        <w:spacing w:after="200" w:before="400"/>
      </w:pPr>
      <w:r>
        <w:rPr>
          <w:rFonts w:ascii="Georgia" w:cs="Georgia" w:eastAsia="Georgia" w:hAnsi="Georgia"/>
          <w:b/>
          <w:bCs/>
          <w:color w:val="A8895C"/>
          <w:sz w:val="28"/>
          <w:szCs w:val="28"/>
        </w:rPr>
        <w:t xml:space="preserve">4. </w:t>
      </w:r>
      <w:r>
        <w:rPr>
          <w:rFonts w:ascii="Georgia" w:cs="Georgia" w:eastAsia="Georgia" w:hAnsi="Georgia"/>
          <w:b/>
          <w:bCs/>
          <w:color w:val="1A1714"/>
          <w:sz w:val="28"/>
          <w:szCs w:val="28"/>
        </w:rPr>
        <w:t xml:space="preserve">COPYWRITING APPLIQUÉ — LE SITE, REWRITTEN</w:t>
      </w:r>
    </w:p>
    <w:p>
      <w:pPr>
        <w:spacing w:after="80" w:before="60"/>
      </w:pPr>
      <w:r>
        <w:rPr>
          <w:rFonts w:ascii="Arial" w:cs="Arial" w:eastAsia="Arial" w:hAnsi="Arial"/>
          <w:color w:val="1A1714"/>
          <w:sz w:val="20"/>
          <w:szCs w:val="20"/>
        </w:rPr>
        <w:t xml:space="preserve">Voici des propositions concrètes de copywriting qui exploitent pleinement le territoire de marque « Mirage », section par section.</w:t>
      </w:r>
    </w:p>
    <w:p>
      <w:pPr>
        <w:spacing w:after="120" w:before="280"/>
      </w:pPr>
      <w:r>
        <w:rPr>
          <w:rFonts w:ascii="Georgia" w:cs="Georgia" w:eastAsia="Georgia" w:hAnsi="Georgia"/>
          <w:b/>
          <w:bCs/>
          <w:i/>
          <w:iCs/>
          <w:color w:val="1A1714"/>
          <w:sz w:val="22"/>
          <w:szCs w:val="22"/>
        </w:rPr>
        <w:t xml:space="preserve">Hero Section — Avant / Après</w:t>
      </w:r>
    </w:p>
    <w:p>
      <w:pPr>
        <w:spacing w:after="60" w:before="60"/>
      </w:pPr>
    </w:p>
    <w:p>
      <w:pPr>
        <w:spacing w:after="60" w:before="100"/>
      </w:pPr>
      <w:r>
        <w:rPr>
          <w:rFonts w:ascii="Arial" w:cs="Arial" w:eastAsia="Arial" w:hAnsi="Arial"/>
          <w:b/>
          <w:bCs/>
          <w:color w:val="8C3A3A"/>
          <w:sz w:val="18"/>
          <w:szCs w:val="18"/>
        </w:rPr>
        <w:t xml:space="preserve">AVANT (actuel)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Eyebrow</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Marseille · 15+ établissements partenaires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Headline</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L’Art de l’Illusion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Sous-titre</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Le dessert que vos clients filment avant de manger</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Description</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Nos créations trompe-l’œil transforment chaque fin de repas en moment viral. Des fruits plus vrais que nature...</w:t>
            </w:r>
          </w:p>
        </w:tc>
      </w:tr>
    </w:tbl>
    <w:p>
      <w:pPr>
        <w:spacing w:after="100" w:before="100"/>
      </w:pPr>
    </w:p>
    <w:p>
      <w:pPr>
        <w:spacing w:after="60" w:before="100"/>
      </w:pPr>
      <w:r>
        <w:rPr>
          <w:rFonts w:ascii="Arial" w:cs="Arial" w:eastAsia="Arial" w:hAnsi="Arial"/>
          <w:b/>
          <w:bCs/>
          <w:color w:val="4A7C59"/>
          <w:sz w:val="18"/>
          <w:szCs w:val="18"/>
        </w:rPr>
        <w:t xml:space="preserve">APRÈS (proposé)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Eyebrow</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Haute Pâtisserie Trompe-l’œil</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Headline</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L’Art de l’Illusion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Baseline</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Ce que vous voyez n’est jamais ce que vous goûtez.</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Sous-titre</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Le dessert que vos clients filment avant de manger.</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CTA</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Vivre le Mirage  |  Découvrir la Collection</w:t>
            </w:r>
          </w:p>
        </w:tc>
      </w:tr>
    </w:tbl>
    <w:p>
      <w:pPr>
        <w:spacing w:after="100" w:before="100"/>
      </w:pPr>
    </w:p>
    <w:p>
      <w:pPr>
        <w:spacing w:after="80" w:before="60"/>
      </w:pPr>
      <w:r>
        <w:rPr>
          <w:rFonts w:ascii="Arial" w:cs="Arial" w:eastAsia="Arial" w:hAnsi="Arial"/>
          <w:color w:val="1A1714"/>
          <w:sz w:val="20"/>
          <w:szCs w:val="20"/>
        </w:rPr>
        <w:t xml:space="preserve">Le changement clé : l’ajout d’une baseline narrative entre le headline et le sous-titre. Cette phrase joue directement sur la dualité illusion/révélation et ancre le concept « Mirage » dans l’esprit du visiteur. L’eyebrow passe d’une info froide (« 15+ partenaires ») à un category descriptor immédiatement compréhensible.</w:t>
      </w:r>
    </w:p>
    <w:p>
      <w:pPr>
        <w:spacing w:after="120" w:before="280"/>
      </w:pPr>
      <w:r>
        <w:rPr>
          <w:rFonts w:ascii="Georgia" w:cs="Georgia" w:eastAsia="Georgia" w:hAnsi="Georgia"/>
          <w:b/>
          <w:bCs/>
          <w:i/>
          <w:iCs/>
          <w:color w:val="1A1714"/>
          <w:sz w:val="22"/>
          <w:szCs w:val="22"/>
        </w:rPr>
        <w:t xml:space="preserve">Autres exemples de copywriting « Mirage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Page Produit</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La Fraise — Apparition n°1. Sous un glaçage rouge impeccable, un cœur de confit intense se révèle. Le mirage le plus vendu de la collection.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Pricing</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Offrez le Mirage dès 5€ la pièce. Une expérience que vos clients revendent pour vous — sur Instagram.</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FAQ</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Et si le mirage ne prend pas ? 100% de nos partenaires ont renouvelé. L’émerveillement est universel.</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Instagram Bio</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L’illusion parfaite se goûte. Haute Pâtisserie Trompe-l’œil · Marseille. Commandes Pro ↓</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Email Subject</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Votre prochaine illusion est prête.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0C7" w:sz="1"/>
              <w:left w:val="single" w:color="D9D0C7" w:sz="1"/>
              <w:bottom w:val="single" w:color="D9D0C7" w:sz="1"/>
              <w:right w:val="single" w:color="D9D0C7" w:sz="1"/>
            </w:tcBorders>
            <w:shd w:fill="1A1714" w:val="clear"/>
            <w:tcMar>
              <w:top w:type="dxa" w:w="100"/>
              <w:left w:type="dxa" w:w="150"/>
              <w:bottom w:type="dxa" w:w="100"/>
              <w:right w:type="dxa" w:w="150"/>
            </w:tcMar>
          </w:tcPr>
          <w:p>
            <w:r>
              <w:rPr>
                <w:rFonts w:ascii="Arial" w:cs="Arial" w:eastAsia="Arial" w:hAnsi="Arial"/>
                <w:b/>
                <w:bCs/>
                <w:color w:val="FFFFFF"/>
                <w:sz w:val="16"/>
                <w:szCs w:val="16"/>
              </w:rPr>
              <w:t xml:space="preserve">Signature email</w:t>
            </w:r>
          </w:p>
        </w:tc>
        <w:tc>
          <w:tcPr>
            <w:tcW w:type="dxa" w:w="6960"/>
            <w:tcBorders>
              <w:top w:val="single" w:color="D9D0C7" w:sz="1"/>
              <w:left w:val="single" w:color="D9D0C7" w:sz="1"/>
              <w:bottom w:val="single" w:color="D9D0C7" w:sz="1"/>
              <w:right w:val="single" w:color="D9D0C7" w:sz="1"/>
            </w:tcBorders>
            <w:shd w:fill="FFFFFF" w:val="clear"/>
            <w:tcMar>
              <w:top w:type="dxa" w:w="100"/>
              <w:left w:type="dxa" w:w="200"/>
              <w:bottom w:type="dxa" w:w="100"/>
              <w:right w:type="dxa" w:w="200"/>
            </w:tcMar>
          </w:tcPr>
          <w:p>
            <w:r>
              <w:rPr>
                <w:rFonts w:ascii="Georgia" w:cs="Georgia" w:eastAsia="Georgia" w:hAnsi="Georgia"/>
                <w:i/>
                <w:iCs/>
                <w:color w:val="1A1714"/>
                <w:sz w:val="20"/>
                <w:szCs w:val="20"/>
              </w:rPr>
              <w:t xml:space="preserve">Hamza Hamdi — Créateur de Mirages · Chef Pâtissier &amp; Co-fondateur</w:t>
            </w:r>
          </w:p>
        </w:tc>
      </w:tr>
    </w:tbl>
    <w:p>
      <w:r>
        <w:br w:type="page"/>
      </w:r>
    </w:p>
    <w:p>
      <w:pPr>
        <w:pBdr>
          <w:bottom w:val="single" w:color="A8895C" w:sz="2" w:space="6"/>
        </w:pBdr>
        <w:spacing w:after="200" w:before="400"/>
      </w:pPr>
      <w:r>
        <w:rPr>
          <w:rFonts w:ascii="Georgia" w:cs="Georgia" w:eastAsia="Georgia" w:hAnsi="Georgia"/>
          <w:b/>
          <w:bCs/>
          <w:color w:val="A8895C"/>
          <w:sz w:val="28"/>
          <w:szCs w:val="28"/>
        </w:rPr>
        <w:t xml:space="preserve">5. </w:t>
      </w:r>
      <w:r>
        <w:rPr>
          <w:rFonts w:ascii="Georgia" w:cs="Georgia" w:eastAsia="Georgia" w:hAnsi="Georgia"/>
          <w:b/>
          <w:bCs/>
          <w:color w:val="1A1714"/>
          <w:sz w:val="28"/>
          <w:szCs w:val="28"/>
        </w:rPr>
        <w:t xml:space="preserve">STRATÉGIE HASHTAG &amp; RÉSEAUX SOCIAUX</w:t>
      </w:r>
    </w:p>
    <w:p>
      <w:pPr>
        <w:spacing w:after="120" w:before="280"/>
      </w:pPr>
      <w:r>
        <w:rPr>
          <w:rFonts w:ascii="Georgia" w:cs="Georgia" w:eastAsia="Georgia" w:hAnsi="Georgia"/>
          <w:b/>
          <w:bCs/>
          <w:i/>
          <w:iCs/>
          <w:color w:val="1A1714"/>
          <w:sz w:val="22"/>
          <w:szCs w:val="22"/>
        </w:rPr>
        <w:t xml:space="preserve">Le hashtag signature : #MomentMirage</w:t>
      </w:r>
    </w:p>
    <w:p>
      <w:pPr>
        <w:spacing w:after="80" w:before="60"/>
      </w:pPr>
      <w:r>
        <w:rPr>
          <w:rFonts w:ascii="Arial" w:cs="Arial" w:eastAsia="Arial" w:hAnsi="Arial"/>
          <w:color w:val="1A1714"/>
          <w:sz w:val="20"/>
          <w:szCs w:val="20"/>
        </w:rPr>
        <w:t xml:space="preserve">Ce hashtag doit devenir le marqueur de l’expérience Maison Mirage sur les réseaux. Il documente l’instant précis où le client découpe le trompe-l’œil et découvre l’intérieur. C’est le moment viral par excellence.</w:t>
      </w:r>
    </w:p>
    <w:p>
      <w:pPr>
        <w:spacing w:after="60" w:before="60"/>
      </w:pPr>
    </w:p>
    <w:p>
      <w:pPr>
        <w:pStyle w:val="ListParagraph"/>
        <w:numPr>
          <w:ilvl w:val="0"/>
          <w:numId w:val="2"/>
        </w:numPr>
        <w:spacing w:after="40" w:before="40"/>
      </w:pPr>
      <w:r>
        <w:rPr>
          <w:rFonts w:ascii="Arial" w:cs="Arial" w:eastAsia="Arial" w:hAnsi="Arial"/>
          <w:color w:val="1A1714"/>
          <w:sz w:val="20"/>
          <w:szCs w:val="20"/>
        </w:rPr>
        <w:t xml:space="preserve">#MomentMirage — Le hashtag principal. À mettre sur chaque post, chaque vidéo, chaque story.</w:t>
      </w:r>
    </w:p>
    <w:p>
      <w:pPr>
        <w:pStyle w:val="ListParagraph"/>
        <w:numPr>
          <w:ilvl w:val="0"/>
          <w:numId w:val="2"/>
        </w:numPr>
        <w:spacing w:after="40" w:before="40"/>
      </w:pPr>
      <w:r>
        <w:rPr>
          <w:rFonts w:ascii="Arial" w:cs="Arial" w:eastAsia="Arial" w:hAnsi="Arial"/>
          <w:color w:val="1A1714"/>
          <w:sz w:val="20"/>
          <w:szCs w:val="20"/>
        </w:rPr>
        <w:t xml:space="preserve">#LeMirage — Version courte pour les légendes rapides.</w:t>
      </w:r>
    </w:p>
    <w:p>
      <w:pPr>
        <w:pStyle w:val="ListParagraph"/>
        <w:numPr>
          <w:ilvl w:val="0"/>
          <w:numId w:val="2"/>
        </w:numPr>
        <w:spacing w:after="40" w:before="40"/>
      </w:pPr>
      <w:r>
        <w:rPr>
          <w:rFonts w:ascii="Arial" w:cs="Arial" w:eastAsia="Arial" w:hAnsi="Arial"/>
          <w:color w:val="1A1714"/>
          <w:sz w:val="20"/>
          <w:szCs w:val="20"/>
        </w:rPr>
        <w:t xml:space="preserve">#MaisonMirage — Le hashtag de marque classique.</w:t>
      </w:r>
    </w:p>
    <w:p>
      <w:pPr>
        <w:pStyle w:val="ListParagraph"/>
        <w:numPr>
          <w:ilvl w:val="0"/>
          <w:numId w:val="2"/>
        </w:numPr>
        <w:spacing w:after="40" w:before="40"/>
      </w:pPr>
      <w:r>
        <w:rPr>
          <w:rFonts w:ascii="Arial" w:cs="Arial" w:eastAsia="Arial" w:hAnsi="Arial"/>
          <w:color w:val="1A1714"/>
          <w:sz w:val="20"/>
          <w:szCs w:val="20"/>
        </w:rPr>
        <w:t xml:space="preserve">#IllusionParfaite — Pour les posts focalisés sur le réalisme du glaçage.</w:t>
      </w:r>
    </w:p>
    <w:p>
      <w:pPr>
        <w:pStyle w:val="ListParagraph"/>
        <w:numPr>
          <w:ilvl w:val="0"/>
          <w:numId w:val="2"/>
        </w:numPr>
        <w:spacing w:after="40" w:before="40"/>
      </w:pPr>
      <w:r>
        <w:rPr>
          <w:rFonts w:ascii="Arial" w:cs="Arial" w:eastAsia="Arial" w:hAnsi="Arial"/>
          <w:color w:val="1A1714"/>
          <w:sz w:val="20"/>
          <w:szCs w:val="20"/>
        </w:rPr>
        <w:t xml:space="preserve">#SculptureComestible — Pour les contenus pédagogiques (making-of, atelier).</w:t>
      </w:r>
    </w:p>
    <w:p>
      <w:pPr>
        <w:spacing w:after="120" w:before="280"/>
      </w:pPr>
      <w:r>
        <w:rPr>
          <w:rFonts w:ascii="Georgia" w:cs="Georgia" w:eastAsia="Georgia" w:hAnsi="Georgia"/>
          <w:b/>
          <w:bCs/>
          <w:i/>
          <w:iCs/>
          <w:color w:val="1A1714"/>
          <w:sz w:val="22"/>
          <w:szCs w:val="22"/>
        </w:rPr>
        <w:t xml:space="preserve">Format de contenu recommandé</w:t>
      </w:r>
    </w:p>
    <w:p>
      <w:pPr>
        <w:spacing w:after="80" w:before="60"/>
      </w:pPr>
      <w:r>
        <w:rPr>
          <w:rFonts w:ascii="Arial" w:cs="Arial" w:eastAsia="Arial" w:hAnsi="Arial"/>
          <w:color w:val="1A1714"/>
          <w:sz w:val="20"/>
          <w:szCs w:val="20"/>
        </w:rPr>
        <w:t xml:space="preserve">Chaque vidéo ou reel devrait suivre la structure narrative du mirage : montrer le fruit (apparition), créer le doute (zoom, réaction), puis la coupe révélatrice (révélation). Ce format en 3 temps est nativement viral car il exploite la boucle de curiosité (curiosity gap), un des leviers les plus puissants de l’engagement sur TikTok et Instagram Reels.</w:t>
      </w:r>
    </w:p>
    <w:p>
      <w:pPr>
        <w:spacing w:after="80" w:before="80"/>
      </w:pPr>
    </w:p>
    <w:p>
      <w:pPr>
        <w:pStyle w:val="ListParagraph"/>
        <w:numPr>
          <w:ilvl w:val="0"/>
          <w:numId w:val="2"/>
        </w:numPr>
        <w:spacing w:after="40" w:before="40"/>
      </w:pPr>
      <w:r>
        <w:rPr>
          <w:rFonts w:ascii="Arial" w:cs="Arial" w:eastAsia="Arial" w:hAnsi="Arial"/>
          <w:color w:val="1A1714"/>
          <w:sz w:val="20"/>
          <w:szCs w:val="20"/>
        </w:rPr>
        <w:t xml:space="preserve">Teasing silencieux (3s) : le fruit en gros plan, silence, musique douce.</w:t>
      </w:r>
    </w:p>
    <w:p>
      <w:pPr>
        <w:pStyle w:val="ListParagraph"/>
        <w:numPr>
          <w:ilvl w:val="0"/>
          <w:numId w:val="2"/>
        </w:numPr>
        <w:spacing w:after="40" w:before="40"/>
      </w:pPr>
      <w:r>
        <w:rPr>
          <w:rFonts w:ascii="Arial" w:cs="Arial" w:eastAsia="Arial" w:hAnsi="Arial"/>
          <w:color w:val="1A1714"/>
          <w:sz w:val="20"/>
          <w:szCs w:val="20"/>
        </w:rPr>
        <w:t xml:space="preserve">Tension (2s) : le couteau approche. Ralenti. Le doute s’installe.</w:t>
      </w:r>
    </w:p>
    <w:p>
      <w:pPr>
        <w:pStyle w:val="ListParagraph"/>
        <w:numPr>
          <w:ilvl w:val="0"/>
          <w:numId w:val="2"/>
        </w:numPr>
        <w:spacing w:after="40" w:before="40"/>
      </w:pPr>
      <w:r>
        <w:rPr>
          <w:rFonts w:ascii="Arial" w:cs="Arial" w:eastAsia="Arial" w:hAnsi="Arial"/>
          <w:color w:val="1A1714"/>
          <w:sz w:val="20"/>
          <w:szCs w:val="20"/>
        </w:rPr>
        <w:t xml:space="preserve">Révélation (3s) : la coupe. L’intérieur se révèle. Sound design satisfaisant.</w:t>
      </w:r>
    </w:p>
    <w:p>
      <w:pPr>
        <w:pStyle w:val="ListParagraph"/>
        <w:numPr>
          <w:ilvl w:val="0"/>
          <w:numId w:val="2"/>
        </w:numPr>
        <w:spacing w:after="40" w:before="40"/>
      </w:pPr>
      <w:r>
        <w:rPr>
          <w:rFonts w:ascii="Arial" w:cs="Arial" w:eastAsia="Arial" w:hAnsi="Arial"/>
          <w:color w:val="1A1714"/>
          <w:sz w:val="20"/>
          <w:szCs w:val="20"/>
        </w:rPr>
        <w:t xml:space="preserve">Signature (1s) : logo Maison Mirage + #MomentMirage.</w:t>
      </w:r>
    </w:p>
    <w:p>
      <w:r>
        <w:br w:type="page"/>
      </w:r>
    </w:p>
    <w:p>
      <w:pPr>
        <w:pBdr>
          <w:bottom w:val="single" w:color="A8895C" w:sz="2" w:space="6"/>
        </w:pBdr>
        <w:spacing w:after="200" w:before="400"/>
      </w:pPr>
      <w:r>
        <w:rPr>
          <w:rFonts w:ascii="Georgia" w:cs="Georgia" w:eastAsia="Georgia" w:hAnsi="Georgia"/>
          <w:b/>
          <w:bCs/>
          <w:color w:val="A8895C"/>
          <w:sz w:val="28"/>
          <w:szCs w:val="28"/>
        </w:rPr>
        <w:t xml:space="preserve">6. </w:t>
      </w:r>
      <w:r>
        <w:rPr>
          <w:rFonts w:ascii="Georgia" w:cs="Georgia" w:eastAsia="Georgia" w:hAnsi="Georgia"/>
          <w:b/>
          <w:bCs/>
          <w:color w:val="1A1714"/>
          <w:sz w:val="28"/>
          <w:szCs w:val="28"/>
        </w:rPr>
        <w:t xml:space="preserve">ROADMAP D’IMPLÉMENTATION</w:t>
      </w:r>
    </w:p>
    <w:p>
      <w:pPr>
        <w:spacing w:after="80" w:before="60"/>
      </w:pPr>
      <w:r>
        <w:rPr>
          <w:rFonts w:ascii="Arial" w:cs="Arial" w:eastAsia="Arial" w:hAnsi="Arial"/>
          <w:color w:val="1A1714"/>
          <w:sz w:val="20"/>
          <w:szCs w:val="20"/>
        </w:rPr>
        <w:t xml:space="preserve">Voici le plan d’action concret pour déployer ce territoire de marque sur le site et les supports de communication.</w:t>
      </w:r>
    </w:p>
    <w:p>
      <w:pPr>
        <w:spacing w:after="120" w:before="280"/>
      </w:pPr>
      <w:r>
        <w:rPr>
          <w:rFonts w:ascii="Georgia" w:cs="Georgia" w:eastAsia="Georgia" w:hAnsi="Georgia"/>
          <w:b/>
          <w:bCs/>
          <w:i/>
          <w:iCs/>
          <w:color w:val="1A1714"/>
          <w:sz w:val="22"/>
          <w:szCs w:val="22"/>
        </w:rPr>
        <w:t xml:space="preserve">Semaine 1 — Quick wins copywriting</w:t>
      </w:r>
    </w:p>
    <w:p>
      <w:pPr>
        <w:pStyle w:val="ListParagraph"/>
        <w:numPr>
          <w:ilvl w:val="0"/>
          <w:numId w:val="2"/>
        </w:numPr>
        <w:spacing w:after="40" w:before="40"/>
      </w:pPr>
      <w:r>
        <w:rPr>
          <w:rFonts w:ascii="Arial" w:cs="Arial" w:eastAsia="Arial" w:hAnsi="Arial"/>
          <w:color w:val="1A1714"/>
          <w:sz w:val="20"/>
          <w:szCs w:val="20"/>
        </w:rPr>
        <w:t xml:space="preserve">Modifier le hero : ajouter la baseline « Ce que vous voyez n’est jamais ce que vous goûtez. »</w:t>
      </w:r>
    </w:p>
    <w:p>
      <w:pPr>
        <w:pStyle w:val="ListParagraph"/>
        <w:numPr>
          <w:ilvl w:val="0"/>
          <w:numId w:val="2"/>
        </w:numPr>
        <w:spacing w:after="40" w:before="40"/>
      </w:pPr>
      <w:r>
        <w:rPr>
          <w:rFonts w:ascii="Arial" w:cs="Arial" w:eastAsia="Arial" w:hAnsi="Arial"/>
          <w:color w:val="1A1714"/>
          <w:sz w:val="20"/>
          <w:szCs w:val="20"/>
        </w:rPr>
        <w:t xml:space="preserve">Remplacer l’eyebrow par « Haute Pâtisserie Trompe-l’œil »</w:t>
      </w:r>
    </w:p>
    <w:p>
      <w:pPr>
        <w:pStyle w:val="ListParagraph"/>
        <w:numPr>
          <w:ilvl w:val="0"/>
          <w:numId w:val="2"/>
        </w:numPr>
        <w:spacing w:after="40" w:before="40"/>
      </w:pPr>
      <w:r>
        <w:rPr>
          <w:rFonts w:ascii="Arial" w:cs="Arial" w:eastAsia="Arial" w:hAnsi="Arial"/>
          <w:color w:val="1A1714"/>
          <w:sz w:val="20"/>
          <w:szCs w:val="20"/>
        </w:rPr>
        <w:t xml:space="preserve">Renommer le CTA principal : « Vivre le Mirage » au lieu de « Demander un devis »</w:t>
      </w:r>
    </w:p>
    <w:p>
      <w:pPr>
        <w:pStyle w:val="ListParagraph"/>
        <w:numPr>
          <w:ilvl w:val="0"/>
          <w:numId w:val="2"/>
        </w:numPr>
        <w:spacing w:after="40" w:before="40"/>
      </w:pPr>
      <w:r>
        <w:rPr>
          <w:rFonts w:ascii="Arial" w:cs="Arial" w:eastAsia="Arial" w:hAnsi="Arial"/>
          <w:color w:val="1A1714"/>
          <w:sz w:val="20"/>
          <w:szCs w:val="20"/>
        </w:rPr>
        <w:t xml:space="preserve">Intégrer « Moment Mirage » dans la section vidéo (« Le Moment Mirage : vos clients coupent un fruit parfait...»)</w:t>
      </w:r>
    </w:p>
    <w:p>
      <w:pPr>
        <w:pStyle w:val="ListParagraph"/>
        <w:numPr>
          <w:ilvl w:val="0"/>
          <w:numId w:val="2"/>
        </w:numPr>
        <w:spacing w:after="40" w:before="40"/>
      </w:pPr>
      <w:r>
        <w:rPr>
          <w:rFonts w:ascii="Arial" w:cs="Arial" w:eastAsia="Arial" w:hAnsi="Arial"/>
          <w:color w:val="1A1714"/>
          <w:sz w:val="20"/>
          <w:szCs w:val="20"/>
        </w:rPr>
        <w:t xml:space="preserve">Modifier les descriptions produits pour intégrer « Apparition n°1, n°2... » et le verbe « se révéler »</w:t>
      </w:r>
    </w:p>
    <w:p>
      <w:pPr>
        <w:spacing w:after="120" w:before="280"/>
      </w:pPr>
      <w:r>
        <w:rPr>
          <w:rFonts w:ascii="Georgia" w:cs="Georgia" w:eastAsia="Georgia" w:hAnsi="Georgia"/>
          <w:b/>
          <w:bCs/>
          <w:i/>
          <w:iCs/>
          <w:color w:val="1A1714"/>
          <w:sz w:val="22"/>
          <w:szCs w:val="22"/>
        </w:rPr>
        <w:t xml:space="preserve">Semaine 2 — Identité verbale complète</w:t>
      </w:r>
    </w:p>
    <w:p>
      <w:pPr>
        <w:pStyle w:val="ListParagraph"/>
        <w:numPr>
          <w:ilvl w:val="0"/>
          <w:numId w:val="2"/>
        </w:numPr>
        <w:spacing w:after="40" w:before="40"/>
      </w:pPr>
      <w:r>
        <w:rPr>
          <w:rFonts w:ascii="Arial" w:cs="Arial" w:eastAsia="Arial" w:hAnsi="Arial"/>
          <w:color w:val="1A1714"/>
          <w:sz w:val="20"/>
          <w:szCs w:val="20"/>
        </w:rPr>
        <w:t xml:space="preserve">Réécrire la page « Notre Histoire » autour du récit fondateur lié au mirage</w:t>
      </w:r>
    </w:p>
    <w:p>
      <w:pPr>
        <w:pStyle w:val="ListParagraph"/>
        <w:numPr>
          <w:ilvl w:val="0"/>
          <w:numId w:val="2"/>
        </w:numPr>
        <w:spacing w:after="40" w:before="40"/>
      </w:pPr>
      <w:r>
        <w:rPr>
          <w:rFonts w:ascii="Arial" w:cs="Arial" w:eastAsia="Arial" w:hAnsi="Arial"/>
          <w:color w:val="1A1714"/>
          <w:sz w:val="20"/>
          <w:szCs w:val="20"/>
        </w:rPr>
        <w:t xml:space="preserve">Créer une page « Le Mirage » dédiée au concept (SEO + storytelling)</w:t>
      </w:r>
    </w:p>
    <w:p>
      <w:pPr>
        <w:pStyle w:val="ListParagraph"/>
        <w:numPr>
          <w:ilvl w:val="0"/>
          <w:numId w:val="2"/>
        </w:numPr>
        <w:spacing w:after="40" w:before="40"/>
      </w:pPr>
      <w:r>
        <w:rPr>
          <w:rFonts w:ascii="Arial" w:cs="Arial" w:eastAsia="Arial" w:hAnsi="Arial"/>
          <w:color w:val="1A1714"/>
          <w:sz w:val="20"/>
          <w:szCs w:val="20"/>
        </w:rPr>
        <w:t xml:space="preserve">Mettre à jour la bio Instagram, la signature email, les modèles de devis</w:t>
      </w:r>
    </w:p>
    <w:p>
      <w:pPr>
        <w:pStyle w:val="ListParagraph"/>
        <w:numPr>
          <w:ilvl w:val="0"/>
          <w:numId w:val="2"/>
        </w:numPr>
        <w:spacing w:after="40" w:before="40"/>
      </w:pPr>
      <w:r>
        <w:rPr>
          <w:rFonts w:ascii="Arial" w:cs="Arial" w:eastAsia="Arial" w:hAnsi="Arial"/>
          <w:color w:val="1A1714"/>
          <w:sz w:val="20"/>
          <w:szCs w:val="20"/>
        </w:rPr>
        <w:t xml:space="preserve">Former l’équipe au lexique de marque (distribuer le tableau des mots autorisés/interdits)</w:t>
      </w:r>
    </w:p>
    <w:p>
      <w:pPr>
        <w:spacing w:after="120" w:before="280"/>
      </w:pPr>
      <w:r>
        <w:rPr>
          <w:rFonts w:ascii="Georgia" w:cs="Georgia" w:eastAsia="Georgia" w:hAnsi="Georgia"/>
          <w:b/>
          <w:bCs/>
          <w:i/>
          <w:iCs/>
          <w:color w:val="1A1714"/>
          <w:sz w:val="22"/>
          <w:szCs w:val="22"/>
        </w:rPr>
        <w:t xml:space="preserve">Mois 2-3 — Déploiement stratégique</w:t>
      </w:r>
    </w:p>
    <w:p>
      <w:pPr>
        <w:pStyle w:val="ListParagraph"/>
        <w:numPr>
          <w:ilvl w:val="0"/>
          <w:numId w:val="2"/>
        </w:numPr>
        <w:spacing w:after="40" w:before="40"/>
      </w:pPr>
      <w:r>
        <w:rPr>
          <w:rFonts w:ascii="Arial" w:cs="Arial" w:eastAsia="Arial" w:hAnsi="Arial"/>
          <w:color w:val="1A1714"/>
          <w:sz w:val="20"/>
          <w:szCs w:val="20"/>
        </w:rPr>
        <w:t xml:space="preserve">Lancer la campagne #MomentMirage avec 5 vidéos de partenaires filmant la découpe</w:t>
      </w:r>
    </w:p>
    <w:p>
      <w:pPr>
        <w:pStyle w:val="ListParagraph"/>
        <w:numPr>
          <w:ilvl w:val="0"/>
          <w:numId w:val="2"/>
        </w:numPr>
        <w:spacing w:after="40" w:before="40"/>
      </w:pPr>
      <w:r>
        <w:rPr>
          <w:rFonts w:ascii="Arial" w:cs="Arial" w:eastAsia="Arial" w:hAnsi="Arial"/>
          <w:color w:val="1A1714"/>
          <w:sz w:val="20"/>
          <w:szCs w:val="20"/>
        </w:rPr>
        <w:t xml:space="preserve">Créer un kit « Moment Mirage » pour les restaurateurs (chevalet de table, QR code, script de présentation)</w:t>
      </w:r>
    </w:p>
    <w:p>
      <w:pPr>
        <w:pStyle w:val="ListParagraph"/>
        <w:numPr>
          <w:ilvl w:val="0"/>
          <w:numId w:val="2"/>
        </w:numPr>
        <w:spacing w:after="40" w:before="40"/>
      </w:pPr>
      <w:r>
        <w:rPr>
          <w:rFonts w:ascii="Arial" w:cs="Arial" w:eastAsia="Arial" w:hAnsi="Arial"/>
          <w:color w:val="1A1714"/>
          <w:sz w:val="20"/>
          <w:szCs w:val="20"/>
        </w:rPr>
        <w:t xml:space="preserve">Développer le concept « Apparition » comme nom de la collection saisonnière</w:t>
      </w:r>
    </w:p>
    <w:p>
      <w:pPr>
        <w:pStyle w:val="ListParagraph"/>
        <w:numPr>
          <w:ilvl w:val="0"/>
          <w:numId w:val="2"/>
        </w:numPr>
        <w:spacing w:after="40" w:before="40"/>
      </w:pPr>
      <w:r>
        <w:rPr>
          <w:rFonts w:ascii="Arial" w:cs="Arial" w:eastAsia="Arial" w:hAnsi="Arial"/>
          <w:color w:val="1A1714"/>
          <w:sz w:val="20"/>
          <w:szCs w:val="20"/>
        </w:rPr>
        <w:t xml:space="preserve">Intégrer le storytelling du mirage dans le dossier d’implantation Klépierre</w:t>
      </w:r>
    </w:p>
    <w:p>
      <w:pPr>
        <w:spacing w:after="200" w:before="200"/>
      </w:pPr>
    </w:p>
    <w:p>
      <w:pPr>
        <w:pBdr>
          <w:top w:val="single" w:color="A8895C" w:sz="2" w:space="12"/>
          <w:bottom w:val="single" w:color="A8895C" w:sz="2" w:space="12"/>
        </w:pBdr>
        <w:spacing w:after="200" w:before="200"/>
        <w:jc w:val="center"/>
      </w:pPr>
      <w:r>
        <w:rPr>
          <w:rFonts w:ascii="Georgia" w:cs="Georgia" w:eastAsia="Georgia" w:hAnsi="Georgia"/>
          <w:color w:val="A8895C"/>
          <w:sz w:val="14"/>
          <w:szCs w:val="14"/>
        </w:rPr>
        <w:t xml:space="preserve">MOT DE FIN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8895C" w:sz="6"/>
              <w:bottom w:val="none"/>
              <w:right w:val="none"/>
            </w:tcBorders>
            <w:shd w:fill="FAF5EF" w:val="clear"/>
            <w:tcMar>
              <w:top w:type="dxa" w:w="150"/>
              <w:left w:type="dxa" w:w="300"/>
              <w:bottom w:type="dxa" w:w="150"/>
              <w:right w:type="dxa" w:w="300"/>
            </w:tcMar>
          </w:tcPr>
          <w:p>
            <w:r>
              <w:rPr>
                <w:rFonts w:ascii="Georgia" w:cs="Georgia" w:eastAsia="Georgia" w:hAnsi="Georgia"/>
                <w:i/>
                <w:iCs/>
                <w:color w:val="7A6552"/>
                <w:sz w:val="22"/>
                <w:szCs w:val="22"/>
              </w:rPr>
              <w:t xml:space="preserve">Un mirage, par définition, c’est quelque chose que tout le monde voit mais que personne ne peut toucher. Maison Mirage a fait l’inverse : un mirage que l’on peut toucher, couper et goûter. C’est cette inversion poétique qui doit devenir le cœur battant de toute la communication.</w:t>
            </w:r>
          </w:p>
        </w:tc>
      </w:tr>
    </w:tbl>
    <w:p>
      <w:pPr>
        <w:spacing w:after="100" w:before="100"/>
      </w:pPr>
    </w:p>
    <w:p>
      <w:pPr>
        <w:spacing w:after="80" w:before="60"/>
      </w:pPr>
      <w:r>
        <w:rPr>
          <w:rFonts w:ascii="Arial" w:cs="Arial" w:eastAsia="Arial" w:hAnsi="Arial"/>
          <w:color w:val="1A1714"/>
          <w:sz w:val="20"/>
          <w:szCs w:val="20"/>
        </w:rPr>
        <w:t xml:space="preserve">Ne changez pas le nom. Libérez-le.</w:t>
      </w:r>
    </w:p>
    <w:p>
      <w:pPr>
        <w:spacing w:after="100" w:before="100"/>
      </w:pPr>
    </w:p>
    <w:p>
      <w:pPr>
        <w:jc w:val="center"/>
      </w:pPr>
      <w:r>
        <w:rPr>
          <w:rFonts w:ascii="Georgia" w:cs="Georgia" w:eastAsia="Georgia" w:hAnsi="Georgia"/>
          <w:i/>
          <w:iCs/>
          <w:color w:val="6B6560"/>
          <w:sz w:val="18"/>
          <w:szCs w:val="18"/>
        </w:rPr>
        <w:t xml:space="preserve">— Fin du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4"/>
        <w:szCs w:val="14"/>
      </w:rPr>
      <w:t xml:space="preserve">Page </w:t>
    </w:r>
    <w:r>
      <w:rPr>
        <w:rFonts w:ascii="Arial" w:cs="Arial" w:eastAsia="Arial" w:hAnsi="Arial"/>
        <w:color w:val="6B656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5B8" w:sz="1" w:space="4"/>
      </w:pBdr>
      <w:tabs>
        <w:tab w:val="right" w:pos="9026"/>
      </w:tabs>
    </w:pPr>
    <w:r>
      <w:rPr>
        <w:rFonts w:ascii="Georgia" w:cs="Georgia" w:eastAsia="Georgia" w:hAnsi="Georgia"/>
        <w:color w:val="A8895C"/>
        <w:sz w:val="14"/>
        <w:szCs w:val="14"/>
      </w:rPr>
      <w:t xml:space="preserve">MAISON MIRAGE</w:t>
    </w:r>
    <w:r>
      <w:rPr>
        <w:rFonts w:ascii="Arial" w:cs="Arial" w:eastAsia="Arial" w:hAnsi="Arial"/>
        <w:color w:val="6B6560"/>
        <w:sz w:val="14"/>
        <w:szCs w:val="14"/>
      </w:rPr>
      <w:t xml:space="preserve">	Brand Narrative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2026-03-11T19:05:56.536Z</dcterms:created>
  <dcterms:modified xsi:type="dcterms:W3CDTF">2026-03-11T19:05:56.536Z</dcterms:modified>
</cp:coreProperties>
</file>

<file path=docProps/custom.xml><?xml version="1.0" encoding="utf-8"?>
<Properties xmlns="http://schemas.openxmlformats.org/officeDocument/2006/custom-properties" xmlns:vt="http://schemas.openxmlformats.org/officeDocument/2006/docPropsVTypes"/>
</file>