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drawing>
          <wp:inline distT="0" distB="0" distL="0" distR="0">
            <wp:extent cx="762000" cy="762000"/>
            <wp:effectExtent t="0" r="0" b="0" l="0"/>
            <wp:docPr id="1" name="logo" descr="Maison Mirage"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before="300"/>
        <w:jc w:val="center"/>
      </w:pPr>
      <w:r>
        <w:rPr>
          <w:rFonts w:ascii="Garamond" w:cs="Garamond" w:eastAsia="Garamond" w:hAnsi="Garamond"/>
          <w:b/>
          <w:bCs/>
          <w:color w:val="1A1714"/>
          <w:sz w:val="36"/>
          <w:szCs w:val="36"/>
        </w:rPr>
        <w:t xml:space="preserve">M A I S O N   M I R A G E</w:t>
      </w:r>
    </w:p>
    <w:p>
      <w:pPr>
        <w:jc w:val="center"/>
      </w:pPr>
      <w:r>
        <w:rPr>
          <w:rFonts w:ascii="Arial" w:cs="Arial" w:eastAsia="Arial" w:hAnsi="Arial"/>
          <w:color w:val="A8895C"/>
          <w:sz w:val="22"/>
          <w:szCs w:val="22"/>
        </w:rPr>
        <w:t xml:space="preserve">Haute Pâtisserie Trompe-l’Œil · Marseille</w:t>
      </w:r>
    </w:p>
    <w:p>
      <w:pPr>
        <w:pBdr>
          <w:bottom w:val="single" w:color="A8895C" w:sz="6" w:space="1"/>
        </w:pBdr>
        <w:spacing w:before="120" w:after="120"/>
      </w:pPr>
    </w:p>
    <w:p>
      <w:pPr>
        <w:spacing w:before="400"/>
        <w:jc w:val="center"/>
      </w:pPr>
      <w:r>
        <w:rPr>
          <w:rFonts w:ascii="Arial" w:cs="Arial" w:eastAsia="Arial" w:hAnsi="Arial"/>
          <w:b/>
          <w:bCs/>
          <w:color w:val="1A1714"/>
          <w:sz w:val="32"/>
          <w:szCs w:val="32"/>
        </w:rPr>
        <w:t xml:space="preserve">DOSSIER D’IMPLANTATION STRATÉGIQUE</w:t>
      </w:r>
    </w:p>
    <w:p>
      <w:pPr>
        <w:jc w:val="center"/>
      </w:pPr>
      <w:r>
        <w:rPr>
          <w:rFonts w:ascii="Arial" w:cs="Arial" w:eastAsia="Arial" w:hAnsi="Arial"/>
          <w:color w:val="A8895C"/>
          <w:sz w:val="22"/>
          <w:szCs w:val="22"/>
        </w:rPr>
        <w:t xml:space="preserve">Route de la Gavotte · Saint-Antoine · 13015 Marseille</w:t>
      </w:r>
    </w:p>
    <w:p>
      <w:pPr>
        <w:spacing w:before="200"/>
        <w:jc w:val="center"/>
      </w:pPr>
      <w:r>
        <w:rPr>
          <w:rFonts w:ascii="Arial" w:cs="Arial" w:eastAsia="Arial" w:hAnsi="Arial"/>
          <w:b/>
          <w:bCs/>
          <w:color w:val="A8895C"/>
          <w:sz w:val="20"/>
          <w:szCs w:val="20"/>
        </w:rPr>
        <w:t xml:space="preserve">VERSION 2.0 — ANALYSE CRITIQUE &amp; STRATÉGIE PHASÉE</w:t>
      </w:r>
    </w:p>
    <w:p>
      <w:pPr>
        <w:pBdr>
          <w:bottom w:val="single" w:color="A8895C" w:sz="6" w:space="1"/>
        </w:pBdr>
        <w:spacing w:before="120" w:after="120"/>
      </w:pPr>
    </w:p>
    <w:p>
      <w:pPr>
        <w:spacing w:before="300"/>
        <w:jc w:val="center"/>
      </w:pPr>
      <w:r>
        <w:rPr>
          <w:rFonts w:ascii="Arial" w:cs="Arial" w:eastAsia="Arial" w:hAnsi="Arial"/>
          <w:color w:val="1A1714"/>
          <w:sz w:val="18"/>
          <w:szCs w:val="18"/>
        </w:rPr>
        <w:t xml:space="preserve">Mars 2026 — Document confidentiel</w:t>
      </w:r>
    </w:p>
    <w:p>
      <w:pPr>
        <w:jc w:val="center"/>
      </w:pPr>
      <w:r>
        <w:rPr>
          <w:rFonts w:ascii="Arial" w:cs="Arial" w:eastAsia="Arial" w:hAnsi="Arial"/>
          <w:color w:val="1A1714"/>
          <w:sz w:val="18"/>
          <w:szCs w:val="18"/>
        </w:rPr>
        <w:t xml:space="preserve">Contact : Hamza Hamdi — contact@lamaisonmirage.com</w:t>
      </w:r>
    </w:p>
    <w:p>
      <w:r>
        <w:br w:type="page"/>
      </w:r>
    </w:p>
    <w:p>
      <w:pPr>
        <w:pStyle w:val="Heading1"/>
      </w:pPr>
      <w:r>
        <w:rPr>
          <w:color w:val="1A1714"/>
        </w:rPr>
        <w:t xml:space="preserve">TABLE DES MATIÈRES</w:t>
      </w:r>
    </w:p>
    <w:p>
      <w:pPr>
        <w:spacing w:before="80" w:after="80"/>
      </w:pPr>
      <w:r>
        <w:rPr>
          <w:rFonts w:ascii="Arial" w:cs="Arial" w:eastAsia="Arial" w:hAnsi="Arial"/>
          <w:color w:val="1A1714"/>
          <w:sz w:val="20"/>
          <w:szCs w:val="20"/>
        </w:rPr>
        <w:t xml:space="preserve">1.  Synthèse exécutive</w:t>
      </w:r>
    </w:p>
    <w:p>
      <w:pPr>
        <w:spacing w:before="80" w:after="80"/>
      </w:pPr>
      <w:r>
        <w:rPr>
          <w:rFonts w:ascii="Arial" w:cs="Arial" w:eastAsia="Arial" w:hAnsi="Arial"/>
          <w:color w:val="1A1714"/>
          <w:sz w:val="20"/>
          <w:szCs w:val="20"/>
        </w:rPr>
        <w:t xml:space="preserve">2.  Analyse du local : ce que la photo montre vraiment</w:t>
      </w:r>
    </w:p>
    <w:p>
      <w:pPr>
        <w:spacing w:before="80" w:after="80"/>
      </w:pPr>
      <w:r>
        <w:rPr>
          <w:rFonts w:ascii="Arial" w:cs="Arial" w:eastAsia="Arial" w:hAnsi="Arial"/>
          <w:color w:val="1A1714"/>
          <w:sz w:val="20"/>
          <w:szCs w:val="20"/>
        </w:rPr>
        <w:t xml:space="preserve">3.  Analyse du quartier : démographie, flux, pouvoir d’achat</w:t>
      </w:r>
    </w:p>
    <w:p>
      <w:pPr>
        <w:spacing w:before="80" w:after="80"/>
      </w:pPr>
      <w:r>
        <w:rPr>
          <w:rFonts w:ascii="Arial" w:cs="Arial" w:eastAsia="Arial" w:hAnsi="Arial"/>
          <w:color w:val="1A1714"/>
          <w:sz w:val="20"/>
          <w:szCs w:val="20"/>
        </w:rPr>
        <w:t xml:space="preserve">4.  Benchmark corrigé : le vrai playbook Tema’s Cake</w:t>
      </w:r>
    </w:p>
    <w:p>
      <w:pPr>
        <w:spacing w:before="80" w:after="80"/>
      </w:pPr>
      <w:r>
        <w:rPr>
          <w:rFonts w:ascii="Arial" w:cs="Arial" w:eastAsia="Arial" w:hAnsi="Arial"/>
          <w:color w:val="1A1714"/>
          <w:sz w:val="20"/>
          <w:szCs w:val="20"/>
        </w:rPr>
        <w:t xml:space="preserve">5.  Viabilité économique : break-even réaliste</w:t>
      </w:r>
    </w:p>
    <w:p>
      <w:pPr>
        <w:spacing w:before="80" w:after="80"/>
      </w:pPr>
      <w:r>
        <w:rPr>
          <w:rFonts w:ascii="Arial" w:cs="Arial" w:eastAsia="Arial" w:hAnsi="Arial"/>
          <w:color w:val="1A1714"/>
          <w:sz w:val="20"/>
          <w:szCs w:val="20"/>
        </w:rPr>
        <w:t xml:space="preserve">6.  Matrice risques / opportunités</w:t>
      </w:r>
    </w:p>
    <w:p>
      <w:pPr>
        <w:spacing w:before="80" w:after="80"/>
      </w:pPr>
      <w:r>
        <w:rPr>
          <w:rFonts w:ascii="Arial" w:cs="Arial" w:eastAsia="Arial" w:hAnsi="Arial"/>
          <w:color w:val="1A1714"/>
          <w:sz w:val="20"/>
          <w:szCs w:val="20"/>
        </w:rPr>
        <w:t xml:space="preserve">7.  Stratégie recommandée : le modèle « Atelier-First » en 3 phases</w:t>
      </w:r>
    </w:p>
    <w:p>
      <w:pPr>
        <w:spacing w:before="80" w:after="80"/>
      </w:pPr>
      <w:r>
        <w:rPr>
          <w:rFonts w:ascii="Arial" w:cs="Arial" w:eastAsia="Arial" w:hAnsi="Arial"/>
          <w:color w:val="1A1714"/>
          <w:sz w:val="20"/>
          <w:szCs w:val="20"/>
        </w:rPr>
        <w:t xml:space="preserve">8.  Budget d’implantation phasé</w:t>
      </w:r>
    </w:p>
    <w:p>
      <w:pPr>
        <w:spacing w:before="80" w:after="80"/>
      </w:pPr>
      <w:r>
        <w:rPr>
          <w:rFonts w:ascii="Arial" w:cs="Arial" w:eastAsia="Arial" w:hAnsi="Arial"/>
          <w:color w:val="1A1714"/>
          <w:sz w:val="20"/>
          <w:szCs w:val="20"/>
        </w:rPr>
        <w:t xml:space="preserve">9.  Indicateurs de déclenchement (Go / No-Go)</w:t>
      </w:r>
    </w:p>
    <w:p>
      <w:r>
        <w:br w:type="page"/>
      </w:r>
    </w:p>
    <w:p>
      <w:pPr>
        <w:pStyle w:val="Heading1"/>
      </w:pPr>
      <w:r>
        <w:rPr>
          <w:color w:val="1A1714"/>
        </w:rPr>
        <w:t xml:space="preserve">1. SYNTHÈSE EXÉCUTIVE</w:t>
      </w:r>
    </w:p>
    <w:p>
      <w:pPr>
        <w:spacing w:before="200" w:after="80"/>
      </w:pPr>
      <w:r>
        <w:rPr>
          <w:rFonts w:ascii="Arial" w:cs="Arial" w:eastAsia="Arial" w:hAnsi="Arial"/>
          <w:b/>
          <w:bCs/>
          <w:color w:val="1A1714"/>
          <w:sz w:val="24"/>
          <w:szCs w:val="24"/>
        </w:rPr>
        <w:t xml:space="preserve">Verdict : </w:t>
      </w:r>
      <w:r>
        <w:rPr>
          <w:rFonts w:ascii="Arial" w:cs="Arial" w:eastAsia="Arial" w:hAnsi="Arial"/>
          <w:color w:val="1A1714"/>
          <w:sz w:val="20"/>
          <w:szCs w:val="20"/>
        </w:rPr>
        <w:t xml:space="preserve">Le local de la Route de la Gavotte est une opportunité réelle, mais pas pour ce que le dossier initial prétend.</w:t>
      </w:r>
    </w:p>
    <w:p>
      <w:pPr>
        <w:spacing w:before="80" w:after="80"/>
      </w:pPr>
      <w:r>
        <w:rPr>
          <w:rFonts w:ascii="Arial" w:cs="Arial" w:eastAsia="Arial" w:hAnsi="Arial"/>
          <w:color w:val="1A1714"/>
          <w:sz w:val="20"/>
          <w:szCs w:val="20"/>
        </w:rPr>
        <w:t xml:space="preserve">Le loyer de 750€/mois constitue une barrière à l’entrée exceptionnellement basse. Le parking gratuit est un atout concret. La vitre latérale face à la rue offre un vrai potentiel de visibilité. Mais le dossier V1 surestime le potentiel de trafic piéton, ignore la réalité socio-économique du 15e arrondissement, et inverse la logique de lancement de Tema’s Cake.</w:t>
      </w:r>
    </w:p>
    <w:p>
      <w:pPr>
        <w:spacing w:before="80" w:after="80"/>
      </w:pPr>
      <w:r>
        <w:rPr>
          <w:rFonts w:ascii="Arial" w:cs="Arial" w:eastAsia="Arial" w:hAnsi="Arial"/>
          <w:b/>
          <w:bCs/>
          <w:color w:val="A8895C"/>
          <w:sz w:val="20"/>
          <w:szCs w:val="20"/>
        </w:rPr>
        <w:t xml:space="preserve">Recommandation : </w:t>
      </w:r>
      <w:r>
        <w:rPr>
          <w:rFonts w:ascii="Arial" w:cs="Arial" w:eastAsia="Arial" w:hAnsi="Arial"/>
          <w:color w:val="1A1714"/>
          <w:sz w:val="20"/>
          <w:szCs w:val="20"/>
        </w:rPr>
        <w:t xml:space="preserve">Ne pas lancer en boutique luxe. Lancer en mode « Atelier de production + Click &amp; Collect », construire le buzz digital, puis convertir progressivement en destination store si les indicateurs le justifient.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4826"/>
      </w:tblGrid>
      <w:tr>
        <w:tc>
          <w:tcPr>
            <w:tcW w:type="dxa" w:w="18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Critère</w:t>
            </w:r>
          </w:p>
        </w:tc>
        <w:tc>
          <w:tcPr>
            <w:tcW w:type="dxa" w:w="12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Score V1</w:t>
            </w:r>
          </w:p>
        </w:tc>
        <w:tc>
          <w:tcPr>
            <w:tcW w:type="dxa" w:w="12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Score révisé</w:t>
            </w:r>
          </w:p>
        </w:tc>
        <w:tc>
          <w:tcPr>
            <w:tcW w:type="dxa" w:w="4826"/>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Commentaire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Attractivité du local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color w:val="27AE60"/>
                <w:sz w:val="18"/>
                <w:szCs w:val="18"/>
              </w:rPr>
              <w:t xml:space="preserve">9/10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color w:val="E67E22"/>
                <w:sz w:val="18"/>
                <w:szCs w:val="18"/>
              </w:rPr>
              <w:t xml:space="preserve">6/10</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Petite façade, quartier populaire, ancien salon de coiffure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Flux piéton / voiture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color w:val="27AE60"/>
                <w:sz w:val="18"/>
                <w:szCs w:val="18"/>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color w:val="C0392B"/>
                <w:sz w:val="18"/>
                <w:szCs w:val="18"/>
              </w:rPr>
              <w:t xml:space="preserve">5/10</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Transit voiture oui, piéton pâtisserie luxe : non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Adéquation produit-marché</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color w:val="27AE60"/>
                <w:sz w:val="18"/>
                <w:szCs w:val="18"/>
              </w:rPr>
              <w:t xml:space="preserve">8/10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color w:val="C0392B"/>
                <w:sz w:val="18"/>
                <w:szCs w:val="18"/>
              </w:rPr>
              <w:t xml:space="preserve">4/10</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Pièce à 8€ dans le 15e = décalage majeur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Risque financier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color w:val="27AE60"/>
                <w:sz w:val="18"/>
                <w:szCs w:val="18"/>
              </w:rPr>
              <w:t xml:space="preserve">Faible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color w:val="27AE60"/>
                <w:sz w:val="18"/>
                <w:szCs w:val="18"/>
              </w:rPr>
              <w:t xml:space="preserve">Faible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Loyer 750€ = filet de sécurité</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Potentiel destination store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color w:val="27AE60"/>
                <w:sz w:val="18"/>
                <w:szCs w:val="18"/>
              </w:rPr>
              <w:t xml:space="preserve">9/10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color w:val="27AE60"/>
                <w:sz w:val="18"/>
                <w:szCs w:val="18"/>
              </w:rPr>
              <w:t xml:space="preserve">7/10</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Viable SI le buzz digital précède le physique</w:t>
            </w:r>
          </w:p>
        </w:tc>
      </w:tr>
    </w:tbl>
    <w:p>
      <w:r>
        <w:br w:type="page"/>
      </w:r>
    </w:p>
    <w:p>
      <w:pPr>
        <w:pStyle w:val="Heading1"/>
      </w:pPr>
      <w:r>
        <w:rPr>
          <w:color w:val="1A1714"/>
        </w:rPr>
        <w:t xml:space="preserve">2. ANALYSE DU LOCAL : CE QUE LA PHOTO MONTRE VRAIMENT</w:t>
      </w:r>
    </w:p>
    <w:p>
      <w:pPr>
        <w:pStyle w:val="Heading2"/>
      </w:pPr>
      <w:r>
        <w:rPr>
          <w:color w:val="A8895C"/>
        </w:rPr>
        <w:t xml:space="preserve">2.1 Description factuelle</w:t>
      </w:r>
    </w:p>
    <w:p>
      <w:pPr>
        <w:spacing w:before="80" w:after="80"/>
      </w:pPr>
      <w:r>
        <w:rPr>
          <w:rFonts w:ascii="Arial" w:cs="Arial" w:eastAsia="Arial" w:hAnsi="Arial"/>
          <w:color w:val="1A1714"/>
          <w:sz w:val="20"/>
          <w:szCs w:val="20"/>
        </w:rPr>
        <w:t xml:space="preserve">Le local est un ancien salon de coiffure (« RZ Coiffure — Femme / Enfant ») situé en position d’angle sur la Route de la Gavotte. Il présente deux faces vitrées exploitables.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Élément</w:t>
            </w:r>
          </w:p>
        </w:tc>
        <w:tc>
          <w:tcPr>
            <w:tcW w:type="dxa" w:w="3526"/>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Constat photo</w:t>
            </w:r>
          </w:p>
        </w:tc>
        <w:tc>
          <w:tcPr>
            <w:tcW w:type="dxa" w:w="30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Évaluation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Façade principale (entrée)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3-4m de large, porte vitrée + store banne gris foncé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Petite mais fonctionnelle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Vitre latérale (face rue)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~1,5-2m², actuellement marquée « RZ Coiffure »</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Face au flux de circulation — exploitable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État général</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Crépi beige abîmé, volets bois au 1er étage, dévanture vieillissante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Travaux de ravalement nécessaires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Position urbaine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Angle de rue, trottoir étroit, poteau électrique devant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Visibilité partielle depuis la route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Enseigne actuelle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Panneau horizontal gris avec typographie cursive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À remplacer intégralement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Panneau tarifs en vitrine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Grille tarifaire coiffure affichée en vitrine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Signal d’un commerce de proximité accessible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Environnement immédiat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Zone résidentielle, constructions basses, pas de zone piétonne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Pas de flux piéton naturel « shopping »</w:t>
            </w:r>
          </w:p>
        </w:tc>
      </w:tr>
    </w:tbl>
    <w:p>
      <w:pPr>
        <w:pStyle w:val="Heading2"/>
      </w:pPr>
      <w:r>
        <w:rPr>
          <w:color w:val="A8895C"/>
        </w:rPr>
        <w:t xml:space="preserve">2.2 Corrections par rapport au dossier V1</w:t>
      </w:r>
    </w:p>
    <w:p>
      <w:pPr>
        <w:spacing w:before="80" w:after="80"/>
      </w:pPr>
      <w:r>
        <w:rPr>
          <w:rFonts w:ascii="Arial" w:cs="Arial" w:eastAsia="Arial" w:hAnsi="Arial"/>
          <w:b/>
          <w:bCs/>
          <w:color w:val="1A1714"/>
          <w:sz w:val="20"/>
          <w:szCs w:val="20"/>
        </w:rPr>
        <w:t xml:space="preserve">CORRECTION 1 — Surface vitrée : </w:t>
      </w:r>
      <w:r>
        <w:rPr>
          <w:rFonts w:ascii="Arial" w:cs="Arial" w:eastAsia="Arial" w:hAnsi="Arial"/>
          <w:color w:val="1A1714"/>
          <w:sz w:val="20"/>
          <w:szCs w:val="20"/>
        </w:rPr>
        <w:t xml:space="preserve">Le dossier V1 annonce une « vitre de 3m² en hauteur ». La réalité sur la photo montre une vitre latérale d’environ 1,5-2m². Elle est bien face à la rue (pas en retour d’angle), ce qui la rend exploitable comme vitrine d’exposition. Mais le dossier V1 surdimensionne cet atout.</w:t>
      </w:r>
    </w:p>
    <w:p>
      <w:pPr>
        <w:spacing w:before="80" w:after="80"/>
      </w:pPr>
      <w:r>
        <w:rPr>
          <w:rFonts w:ascii="Arial" w:cs="Arial" w:eastAsia="Arial" w:hAnsi="Arial"/>
          <w:b/>
          <w:bCs/>
          <w:color w:val="1A1714"/>
          <w:sz w:val="20"/>
          <w:szCs w:val="20"/>
        </w:rPr>
        <w:t xml:space="preserve">CORRECTION 2 — La « mezzanine » : </w:t>
      </w:r>
      <w:r>
        <w:rPr>
          <w:rFonts w:ascii="Arial" w:cs="Arial" w:eastAsia="Arial" w:hAnsi="Arial"/>
          <w:color w:val="1A1714"/>
          <w:sz w:val="20"/>
          <w:szCs w:val="20"/>
        </w:rPr>
        <w:t xml:space="preserve">Le premier étage montre des fenêtres à volets en bois. Rien n’indique qu’il fait partie du bail. Si le bail ne couvre que le rez-de-chaussée, l’exploitation du premier étage est impossible. Point à vérifier impérativement avant signature.</w:t>
      </w:r>
    </w:p>
    <w:p>
      <w:pPr>
        <w:spacing w:before="80" w:after="80"/>
      </w:pPr>
      <w:r>
        <w:rPr>
          <w:rFonts w:ascii="Arial" w:cs="Arial" w:eastAsia="Arial" w:hAnsi="Arial"/>
          <w:b/>
          <w:bCs/>
          <w:color w:val="1A1714"/>
          <w:sz w:val="20"/>
          <w:szCs w:val="20"/>
        </w:rPr>
        <w:t xml:space="preserve">CORRECTION 3 — Le « monolithe noir » : </w:t>
      </w:r>
      <w:r>
        <w:rPr>
          <w:rFonts w:ascii="Arial" w:cs="Arial" w:eastAsia="Arial" w:hAnsi="Arial"/>
          <w:color w:val="1A1714"/>
          <w:sz w:val="20"/>
          <w:szCs w:val="20"/>
        </w:rPr>
        <w:t xml:space="preserve">Peindre la façade en noir mat intégral nécessite l’accord du propriétaire ET potentiellement de la copropriété si le bâtiment est en copropriété. Le ravalement extérieur est généralement encadré par le PLU de Marseille. Vérifier le règlement d’urbanisme du secteur.</w:t>
      </w:r>
    </w:p>
    <w:p>
      <w:r>
        <w:br w:type="page"/>
      </w:r>
    </w:p>
    <w:p>
      <w:pPr>
        <w:pStyle w:val="Heading1"/>
      </w:pPr>
      <w:r>
        <w:rPr>
          <w:color w:val="1A1714"/>
        </w:rPr>
        <w:t xml:space="preserve">3. ANALYSE DU QUARTIER : DÉMOGRAPHIE, FLUX, POUVOIR D’ACHAT</w:t>
      </w:r>
    </w:p>
    <w:p>
      <w:pPr>
        <w:pStyle w:val="Heading2"/>
      </w:pPr>
      <w:r>
        <w:rPr>
          <w:color w:val="A8895C"/>
        </w:rPr>
        <w:t xml:space="preserve">3.1 Réalité socio-économique du 15e arrondissement</w:t>
      </w:r>
    </w:p>
    <w:p>
      <w:pPr>
        <w:spacing w:before="80" w:after="80"/>
      </w:pPr>
      <w:r>
        <w:rPr>
          <w:rFonts w:ascii="Arial" w:cs="Arial" w:eastAsia="Arial" w:hAnsi="Arial"/>
          <w:color w:val="1A1714"/>
          <w:sz w:val="20"/>
          <w:szCs w:val="20"/>
        </w:rPr>
        <w:t xml:space="preserve">Le dossier V1 évoque une « clientèle à fort pouvoir d’achat qui emprunte l’axe quotidiennement ». Les données INSEE racontent une autre histoire.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c>
          <w:tcPr>
            <w:tcW w:type="dxa" w:w="25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Indicateur INSEE</w:t>
            </w:r>
          </w:p>
        </w:tc>
        <w:tc>
          <w:tcPr>
            <w:tcW w:type="dxa" w:w="2175"/>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Marseille 15e</w:t>
            </w:r>
          </w:p>
        </w:tc>
        <w:tc>
          <w:tcPr>
            <w:tcW w:type="dxa" w:w="2175"/>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Marseille moyenne</w:t>
            </w:r>
          </w:p>
        </w:tc>
        <w:tc>
          <w:tcPr>
            <w:tcW w:type="dxa" w:w="2176"/>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France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Revenu médian par UC</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Inférieur au seuil de pauvreté</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19 500€</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23 080€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Part RSA (25-59 ans)</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22%</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12%</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7%</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Taux de chômage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Très élevé</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Élevé</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7,3%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QPV (Quartier Prioritaire)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Oui — plusieurs zones</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w:t>
            </w:r>
          </w:p>
        </w:tc>
      </w:tr>
    </w:tbl>
    <w:p>
      <w:pPr>
        <w:spacing w:before="80" w:after="80"/>
      </w:pPr>
      <w:r>
        <w:rPr>
          <w:rFonts w:ascii="Arial" w:cs="Arial" w:eastAsia="Arial" w:hAnsi="Arial"/>
          <w:b/>
          <w:bCs/>
          <w:color w:val="1A1714"/>
          <w:sz w:val="20"/>
          <w:szCs w:val="20"/>
        </w:rPr>
        <w:t xml:space="preserve">Ce que ça signifie concrètement : </w:t>
      </w:r>
      <w:r>
        <w:rPr>
          <w:rFonts w:ascii="Arial" w:cs="Arial" w:eastAsia="Arial" w:hAnsi="Arial"/>
          <w:color w:val="1A1714"/>
          <w:sz w:val="20"/>
          <w:szCs w:val="20"/>
        </w:rPr>
        <w:t xml:space="preserve">une pièce à 8€ représente un effort budgétaire significatif pour la majorité des ménages du quartier. Un Écrin 5 pièces à 39€ (prix B2C) équivaut au budget alimentaire hebdomadaire d’un ménage au RSA. La clientèle locale régulière est quasi inexistante pour ce positionnement tarifaire.</w:t>
      </w:r>
    </w:p>
    <w:p>
      <w:pPr>
        <w:pStyle w:val="Heading2"/>
      </w:pPr>
      <w:r>
        <w:rPr>
          <w:color w:val="A8895C"/>
        </w:rPr>
        <w:t xml:space="preserve">3.2 Analyse des flux réels</w:t>
      </w:r>
    </w:p>
    <w:p>
      <w:pPr>
        <w:spacing w:before="80" w:after="80"/>
      </w:pPr>
      <w:r>
        <w:rPr>
          <w:rFonts w:ascii="Arial" w:cs="Arial" w:eastAsia="Arial" w:hAnsi="Arial"/>
          <w:b/>
          <w:bCs/>
          <w:color w:val="1A1714"/>
          <w:sz w:val="20"/>
          <w:szCs w:val="20"/>
        </w:rPr>
        <w:t xml:space="preserve">Le « retargeting automobile » : </w:t>
      </w:r>
      <w:r>
        <w:rPr>
          <w:rFonts w:ascii="Arial" w:cs="Arial" w:eastAsia="Arial" w:hAnsi="Arial"/>
          <w:color w:val="1A1714"/>
          <w:sz w:val="20"/>
          <w:szCs w:val="20"/>
        </w:rPr>
        <w:t xml:space="preserve">Le dossier V1 présente la boucle de stationnement comme un avantage (« l’automobiliste passe, cherche une place, repasse »). En réalité, un conducteur qui cherche une place de parking est stressé et concentré sur la route, pas sur les vitrines. Ce phénomène de « double exposition » est du storytelling marketing, pas une donnée observée.</w:t>
      </w:r>
    </w:p>
    <w:p>
      <w:pPr>
        <w:spacing w:before="80" w:after="80"/>
      </w:pPr>
      <w:r>
        <w:rPr>
          <w:rFonts w:ascii="Arial" w:cs="Arial" w:eastAsia="Arial" w:hAnsi="Arial"/>
          <w:b/>
          <w:bCs/>
          <w:color w:val="1A1714"/>
          <w:sz w:val="20"/>
          <w:szCs w:val="20"/>
        </w:rPr>
        <w:t xml:space="preserve">Le flux de transit vers l’A7 : </w:t>
      </w:r>
      <w:r>
        <w:rPr>
          <w:rFonts w:ascii="Arial" w:cs="Arial" w:eastAsia="Arial" w:hAnsi="Arial"/>
          <w:color w:val="1A1714"/>
          <w:sz w:val="20"/>
          <w:szCs w:val="20"/>
        </w:rPr>
        <w:t xml:space="preserve">C’est réel. La Route de la Gavotte est un axe de transit. Mais les zones desservies (Septèmes, Pennes-Mirabeau, quartiers nord) ne sont pas des bassins de clientèle luxe. Le transit existe, le pouvoir d’achat de ce transit est surestimé.</w:t>
      </w:r>
    </w:p>
    <w:p>
      <w:pPr>
        <w:spacing w:before="80" w:after="80"/>
      </w:pPr>
      <w:r>
        <w:rPr>
          <w:rFonts w:ascii="Arial" w:cs="Arial" w:eastAsia="Arial" w:hAnsi="Arial"/>
          <w:b/>
          <w:bCs/>
          <w:color w:val="27AE60"/>
          <w:sz w:val="20"/>
          <w:szCs w:val="20"/>
        </w:rPr>
        <w:t xml:space="preserve">Le parking gratuit : </w:t>
      </w:r>
      <w:r>
        <w:rPr>
          <w:rFonts w:ascii="Arial" w:cs="Arial" w:eastAsia="Arial" w:hAnsi="Arial"/>
          <w:color w:val="1A1714"/>
          <w:sz w:val="20"/>
          <w:szCs w:val="20"/>
        </w:rPr>
        <w:t xml:space="preserve">C’est le seul argument de flux objectivement fort. En pâtisserie, la commodité de stationnement est un facteur d’achat déterminant. Il faut vérifier : parking public ou privé, nombre de places, visibilité depuis la route, proximité exacte du local.</w:t>
      </w:r>
    </w:p>
    <w:p>
      <w:r>
        <w:br w:type="page"/>
      </w:r>
    </w:p>
    <w:p>
      <w:pPr>
        <w:pStyle w:val="Heading1"/>
      </w:pPr>
      <w:r>
        <w:rPr>
          <w:color w:val="1A1714"/>
        </w:rPr>
        <w:t xml:space="preserve">4. BENCHMARK CORRIGÉ : LE VRAI PLAYBOOK TEMA’S CAKE</w:t>
      </w:r>
    </w:p>
    <w:p>
      <w:pPr>
        <w:spacing w:before="80" w:after="80"/>
      </w:pPr>
      <w:r>
        <w:rPr>
          <w:rFonts w:ascii="Arial" w:cs="Arial" w:eastAsia="Arial" w:hAnsi="Arial"/>
          <w:color w:val="1A1714"/>
          <w:sz w:val="20"/>
          <w:szCs w:val="20"/>
        </w:rPr>
        <w:t xml:space="preserve">Le dossier V1 compare l’implantation à « Tema’s Cake à Saint-Ouen ». Première correction factuelle : Tema’s Cake n’est pas à Saint-Ouen. Son implantation principale est à Aulnay-sous-Bois (93), avec des extensions à Créteil Soleil (centre commercial), La Défense, et Dubaï.</w:t>
      </w:r>
    </w:p>
    <w:p>
      <w:pPr>
        <w:pStyle w:val="Heading2"/>
      </w:pPr>
      <w:r>
        <w:rPr>
          <w:color w:val="A8895C"/>
        </w:rPr>
        <w:t xml:space="preserve">4.1 La chronologie réelle de Tema’s Cake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13"/>
        <w:gridCol w:w="4413"/>
      </w:tblGrid>
      <w:tr>
        <w:tc>
          <w:tcPr>
            <w:tcW w:type="dxa" w:w="12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Année</w:t>
            </w:r>
          </w:p>
        </w:tc>
        <w:tc>
          <w:tcPr>
            <w:tcW w:type="dxa" w:w="3413"/>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Étape</w:t>
            </w:r>
          </w:p>
        </w:tc>
        <w:tc>
          <w:tcPr>
            <w:tcW w:type="dxa" w:w="4413"/>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Leçon pour Maison Mirage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2010</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Fatima Aouad commence en cuisine, chez elle à Bondy</w:t>
            </w:r>
          </w:p>
        </w:tc>
        <w:tc>
          <w:tcPr>
            <w:tcW w:type="dxa" w:w="4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Démarrage zéro investissement, test produit-marché</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2018</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Premier salon de thé au Pré-Saint-Gervais</w:t>
            </w:r>
          </w:p>
        </w:tc>
        <w:tc>
          <w:tcPr>
            <w:tcW w:type="dxa" w:w="4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La mairie bloque enseigne + terrasse — échec partiel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2020-23</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Boutique Aulnay-sous-Bois + vente en ligne + TikTok</w:t>
            </w:r>
          </w:p>
        </w:tc>
        <w:tc>
          <w:tcPr>
            <w:tcW w:type="dxa" w:w="4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Le digital CONSTRUIT le buzz, le physique SUIT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2024</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Explosion TikTok avec les trompe-l’œil</w:t>
            </w:r>
          </w:p>
        </w:tc>
        <w:tc>
          <w:tcPr>
            <w:tcW w:type="dxa" w:w="4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Viral = 1 vidéo, pas 1 vitrine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2025-26</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Créteil Soleil, La Défense, Dubaï</w:t>
            </w:r>
          </w:p>
        </w:tc>
        <w:tc>
          <w:tcPr>
            <w:tcW w:type="dxa" w:w="44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L’expansion physique vient APRÈS la preuve digitale</w:t>
            </w:r>
          </w:p>
        </w:tc>
      </w:tr>
    </w:tbl>
    <w:p>
      <w:pPr>
        <w:pStyle w:val="Heading2"/>
      </w:pPr>
      <w:r>
        <w:rPr>
          <w:color w:val="A8895C"/>
        </w:rPr>
        <w:t xml:space="preserve">4.2 La leçon fondamentale</w:t>
      </w:r>
    </w:p>
    <w:p>
      <w:pPr>
        <w:spacing w:before="120" w:after="80"/>
      </w:pPr>
      <w:r>
        <w:rPr>
          <w:rFonts w:ascii="Arial" w:cs="Arial" w:eastAsia="Arial" w:hAnsi="Arial"/>
          <w:b/>
          <w:bCs/>
          <w:color w:val="1A1714"/>
          <w:sz w:val="20"/>
          <w:szCs w:val="20"/>
        </w:rPr>
        <w:t xml:space="preserve">Tema’s Cake n’a PAS réussi grâce à un emplacement stratégique. </w:t>
      </w:r>
      <w:r>
        <w:rPr>
          <w:rFonts w:ascii="Arial" w:cs="Arial" w:eastAsia="Arial" w:hAnsi="Arial"/>
          <w:color w:val="1A1714"/>
          <w:sz w:val="20"/>
          <w:szCs w:val="20"/>
        </w:rPr>
        <w:t xml:space="preserve">Elle a réussi malgré un emplacement médiocre (zone commerciale d’Aulnay), parce que le buzz TikTok amène les clients spécifiquement. Les gens font 45 minutes de trajet pour acheter chez Tema’s. Ce n’est pas le local qui génère le trafic, c’est la marque.</w:t>
      </w:r>
    </w:p>
    <w:p>
      <w:pPr>
        <w:spacing w:before="80" w:after="80"/>
      </w:pPr>
      <w:r>
        <w:rPr>
          <w:rFonts w:ascii="Arial" w:cs="Arial" w:eastAsia="Arial" w:hAnsi="Arial"/>
          <w:color w:val="1A1714"/>
          <w:sz w:val="20"/>
          <w:szCs w:val="20"/>
        </w:rPr>
        <w:t xml:space="preserve">Implication directe : investir 12-15K dans une façade « monolithe noir » avant d’avoir construit le buzz digital, c’est inverser la séquence qui a fait le succès de Tema’s.</w:t>
      </w:r>
    </w:p>
    <w:p>
      <w:r>
        <w:br w:type="page"/>
      </w:r>
    </w:p>
    <w:p>
      <w:pPr>
        <w:pStyle w:val="Heading1"/>
      </w:pPr>
      <w:r>
        <w:rPr>
          <w:color w:val="1A1714"/>
        </w:rPr>
        <w:t xml:space="preserve">5. VIABILITÉ ÉCONOMIQUE : BREAK-EVEN RÉALISTE</w:t>
      </w:r>
    </w:p>
    <w:p>
      <w:pPr>
        <w:pStyle w:val="Heading2"/>
      </w:pPr>
      <w:r>
        <w:rPr>
          <w:color w:val="A8895C"/>
        </w:rPr>
        <w:t xml:space="preserve">5.1 Le calcul du dossier V1 (optimiste)</w:t>
      </w:r>
    </w:p>
    <w:p>
      <w:pPr>
        <w:spacing w:before="80" w:after="80"/>
      </w:pPr>
      <w:r>
        <w:rPr>
          <w:rFonts w:ascii="Arial" w:cs="Arial" w:eastAsia="Arial" w:hAnsi="Arial"/>
          <w:color w:val="1A1714"/>
          <w:sz w:val="20"/>
          <w:szCs w:val="20"/>
        </w:rPr>
        <w:t xml:space="preserve">Le dossier V1 annonce un break-even à 7 pièces/jour à 8€, soit 56€/jour de CA. Ce calcul n’intègre que le loyer (750€/mois ÷ 30 jours = 25€/jour).</w:t>
      </w:r>
    </w:p>
    <w:p>
      <w:pPr>
        <w:pStyle w:val="Heading2"/>
      </w:pPr>
      <w:r>
        <w:rPr>
          <w:color w:val="A8895C"/>
        </w:rPr>
        <w:t xml:space="preserve">5.2 Le calcul corrigé (réaliste)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Poste</w:t>
            </w:r>
          </w:p>
        </w:tc>
        <w:tc>
          <w:tcPr>
            <w:tcW w:type="dxa" w:w="2763"/>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Coût mensuel</w:t>
            </w:r>
          </w:p>
        </w:tc>
        <w:tc>
          <w:tcPr>
            <w:tcW w:type="dxa" w:w="2763"/>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Coût journalier (26j ouvés)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Loyer</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750€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29€</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Charges (EDF, eau, internet)</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250€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Vitrine réfrigérée (conso électrique)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80€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3€</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Assurance local</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100€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Matières premières (1,50€/pc × 20 pcs)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780€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30€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Packaging (2,30€/boîte × ~6 boîtes/jour)</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360€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14€</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Perte stock (DLC 5j, estimé 20%)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200€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8€</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Comptable + divers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200€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8€</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sz w:val="18"/>
                <w:szCs w:val="18"/>
              </w:rPr>
              <w:t xml:space="preserve">TOTAL CHARGES MENSUELLES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sz w:val="18"/>
                <w:szCs w:val="18"/>
              </w:rPr>
              <w:t xml:space="preserve">2 720€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sz w:val="18"/>
                <w:szCs w:val="18"/>
              </w:rPr>
              <w:t xml:space="preserve">105€/jour</w:t>
            </w:r>
          </w:p>
        </w:tc>
      </w:tr>
    </w:tbl>
    <w:p>
      <w:pPr>
        <w:spacing w:before="80" w:after="80"/>
      </w:pPr>
      <w:r>
        <w:rPr>
          <w:rFonts w:ascii="Arial" w:cs="Arial" w:eastAsia="Arial" w:hAnsi="Arial"/>
          <w:color w:val="1A1714"/>
          <w:sz w:val="20"/>
          <w:szCs w:val="20"/>
        </w:rPr>
        <w:t xml:space="preserve"/>
      </w:r>
    </w:p>
    <w:p>
      <w:pPr>
        <w:spacing w:before="80" w:after="80"/>
      </w:pPr>
      <w:r>
        <w:rPr>
          <w:rFonts w:ascii="Arial" w:cs="Arial" w:eastAsia="Arial" w:hAnsi="Arial"/>
          <w:b/>
          <w:bCs/>
          <w:color w:val="1A1714"/>
          <w:sz w:val="20"/>
          <w:szCs w:val="20"/>
        </w:rPr>
        <w:t xml:space="preserve">Marge brute par pièce (vendue B2C à 8€) : </w:t>
      </w:r>
      <w:r>
        <w:rPr>
          <w:rFonts w:ascii="Arial" w:cs="Arial" w:eastAsia="Arial" w:hAnsi="Arial"/>
          <w:color w:val="1A1714"/>
          <w:sz w:val="20"/>
          <w:szCs w:val="20"/>
        </w:rPr>
        <w:t xml:space="preserve">8€ − 1,50€ (matières) − 0,50€ (packaging au prorata) = 6€ de marge brute.</w:t>
      </w:r>
    </w:p>
    <w:p>
      <w:pPr>
        <w:spacing w:before="80" w:after="80"/>
      </w:pPr>
      <w:r>
        <w:rPr>
          <w:rFonts w:ascii="Arial" w:cs="Arial" w:eastAsia="Arial" w:hAnsi="Arial"/>
          <w:b/>
          <w:bCs/>
          <w:color w:val="C0392B"/>
          <w:sz w:val="20"/>
          <w:szCs w:val="20"/>
        </w:rPr>
        <w:t xml:space="preserve">Break-even réel : </w:t>
      </w:r>
      <w:r>
        <w:rPr>
          <w:rFonts w:ascii="Arial" w:cs="Arial" w:eastAsia="Arial" w:hAnsi="Arial"/>
          <w:color w:val="1A1714"/>
          <w:sz w:val="20"/>
          <w:szCs w:val="20"/>
        </w:rPr>
        <w:t xml:space="preserve">105€ ÷ 6€ = 18 pièces/jour minimum. Pas 7.</w:t>
      </w:r>
    </w:p>
    <w:p>
      <w:pPr>
        <w:spacing w:before="80" w:after="80"/>
      </w:pPr>
      <w:r>
        <w:rPr>
          <w:rFonts w:ascii="Arial" w:cs="Arial" w:eastAsia="Arial" w:hAnsi="Arial"/>
          <w:b/>
          <w:bCs/>
          <w:color w:val="1A1714"/>
          <w:sz w:val="20"/>
          <w:szCs w:val="20"/>
        </w:rPr>
        <w:t xml:space="preserve">Objectif de sécurité (marge de 30%) : </w:t>
      </w:r>
      <w:r>
        <w:rPr>
          <w:rFonts w:ascii="Arial" w:cs="Arial" w:eastAsia="Arial" w:hAnsi="Arial"/>
          <w:color w:val="1A1714"/>
          <w:sz w:val="20"/>
          <w:szCs w:val="20"/>
        </w:rPr>
        <w:t xml:space="preserve">23-25 pièces/jour, soit un CA quotidien de ~190€.</w:t>
      </w:r>
    </w:p>
    <w:p>
      <w:pPr>
        <w:pStyle w:val="Heading2"/>
      </w:pPr>
      <w:r>
        <w:rPr>
          <w:color w:val="A8895C"/>
        </w:rPr>
        <w:t xml:space="preserve">5.3 Faisabilité du volume</w:t>
      </w:r>
    </w:p>
    <w:p>
      <w:pPr>
        <w:spacing w:before="80" w:after="80"/>
      </w:pPr>
      <w:r>
        <w:rPr>
          <w:rFonts w:ascii="Arial" w:cs="Arial" w:eastAsia="Arial" w:hAnsi="Arial"/>
          <w:color w:val="1A1714"/>
          <w:sz w:val="20"/>
          <w:szCs w:val="20"/>
        </w:rPr>
        <w:t xml:space="preserve">18-25 pièces/jour est-il réaliste dans ce quartier ? En pâtisserie artisanale premium, un point de vente bien situé (centre-ville, zone commerciale) fait 30-60 pièces/jour. Un point de vente en quartier résidentiel périphérique fait plutôt 10-20 pièces/jour les premiers mois, avec une montée en puissance sur 6-12 mois.</w:t>
      </w:r>
    </w:p>
    <w:p>
      <w:pPr>
        <w:spacing w:before="80" w:after="80"/>
      </w:pPr>
      <w:r>
        <w:rPr>
          <w:rFonts w:ascii="Arial" w:cs="Arial" w:eastAsia="Arial" w:hAnsi="Arial"/>
          <w:b/>
          <w:bCs/>
          <w:color w:val="1A1714"/>
          <w:sz w:val="20"/>
          <w:szCs w:val="20"/>
        </w:rPr>
        <w:t xml:space="preserve">Conclusion : </w:t>
      </w:r>
      <w:r>
        <w:rPr>
          <w:rFonts w:ascii="Arial" w:cs="Arial" w:eastAsia="Arial" w:hAnsi="Arial"/>
          <w:color w:val="1A1714"/>
          <w:sz w:val="20"/>
          <w:szCs w:val="20"/>
        </w:rPr>
        <w:t xml:space="preserve">le break-even est atteignable, mais pas immédiatement. Il faut prévoir 3-6 mois de trésorerie négative en phase de lancement (soit 5 000-10 000€ de fonds de roulement). Le dossier V1 ne mentionne pas ce besoin.</w:t>
      </w:r>
    </w:p>
    <w:p>
      <w:r>
        <w:br w:type="page"/>
      </w:r>
    </w:p>
    <w:p>
      <w:pPr>
        <w:pStyle w:val="Heading1"/>
      </w:pPr>
      <w:r>
        <w:rPr>
          <w:color w:val="1A1714"/>
        </w:rPr>
        <w:t xml:space="preserve">6. MATRICE RISQUES / OPPORTUNITÉS</w:t>
      </w:r>
    </w:p>
    <w:p>
      <w:pPr>
        <w:pStyle w:val="Heading2"/>
      </w:pPr>
      <w:r>
        <w:rPr>
          <w:color w:val="A8895C"/>
        </w:rPr>
        <w:t xml:space="preserve">6.1 Risques identifiés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3926"/>
      </w:tblGrid>
      <w:tr>
        <w:tc>
          <w:tcPr>
            <w:tcW w:type="dxa" w:w="25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Risque</w:t>
            </w:r>
          </w:p>
        </w:tc>
        <w:tc>
          <w:tcPr>
            <w:tcW w:type="dxa" w:w="14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Probabilité</w:t>
            </w:r>
          </w:p>
        </w:tc>
        <w:tc>
          <w:tcPr>
            <w:tcW w:type="dxa" w:w="12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Impact</w:t>
            </w:r>
          </w:p>
        </w:tc>
        <w:tc>
          <w:tcPr>
            <w:tcW w:type="dxa" w:w="3926"/>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Mitigation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Clientèle locale insuffisante pour le prix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Élevée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Fort</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Ne PAS dépendre du trafic local — stratégie digitale prioritaire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Travaux façade refusés (PLU / copropriété)</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Moyenne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Fort</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Vérifier AVANT signature du bail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1er étage hors bail (pas de mezzanine)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Moyenne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Modéré</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Confirmer le périmètre exact du bail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Parking privé / non garanti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Faible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Fort</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Vérifier statut juridique du parking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Perte stock élevée (DLC 5 jours)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Moyenne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Modéré</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Production à la commande en Phase 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Buzz digital insuffisant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Moyenne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Fort</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Lancer le contenu TikTok 3 mois AVANT l’ouverture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Vandalisme / vol (quartier sensible)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Faible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Modéré</w:t>
            </w:r>
          </w:p>
        </w:tc>
        <w:tc>
          <w:tcPr>
            <w:tcW w:type="dxa" w:w="39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Rideau métallique + assurance</w:t>
            </w:r>
          </w:p>
        </w:tc>
      </w:tr>
    </w:tbl>
    <w:p>
      <w:pPr>
        <w:pStyle w:val="Heading2"/>
      </w:pPr>
      <w:r>
        <w:rPr>
          <w:color w:val="A8895C"/>
        </w:rPr>
        <w:t xml:space="preserve">6.2 Opportunités confirmées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W w:type="dxa" w:w="35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Opportunité</w:t>
            </w:r>
          </w:p>
        </w:tc>
        <w:tc>
          <w:tcPr>
            <w:tcW w:type="dxa" w:w="18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Force</w:t>
            </w:r>
          </w:p>
        </w:tc>
        <w:tc>
          <w:tcPr>
            <w:tcW w:type="dxa" w:w="3726"/>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Condition de succès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Loyer 750€ = risque financier minimal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Très forte</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Aucune — c’est un avantage structurel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Parking gratuit attenant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Forte</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Vérifier pérennité et visibilité</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Vitre latérale face à la rue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Modérée</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Remplacer par vitrine fixe sans croisillon + éclairage LED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Zéro concurrence trompe-l’œil à Marseille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Très forte</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First-mover advantage — agir vite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Destination store via TikTok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Très forte</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Construire la communauté AVANT d’ouvrir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Budget aménagement faible = pivot facile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Forte</w:t>
            </w:r>
          </w:p>
        </w:tc>
        <w:tc>
          <w:tcPr>
            <w:tcW w:type="dxa" w:w="37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Ne pas surinvestir en Phase 1</w:t>
            </w:r>
          </w:p>
        </w:tc>
      </w:tr>
    </w:tbl>
    <w:p>
      <w:r>
        <w:br w:type="page"/>
      </w:r>
    </w:p>
    <w:p>
      <w:pPr>
        <w:pStyle w:val="Heading1"/>
      </w:pPr>
      <w:r>
        <w:rPr>
          <w:color w:val="1A1714"/>
        </w:rPr>
        <w:t xml:space="preserve">7. STRATÉGIE RECOMMANDÉE : LE MODÈLE « ATELIER-FIRST »</w:t>
      </w:r>
    </w:p>
    <w:p>
      <w:pPr>
        <w:spacing w:before="80" w:after="80"/>
      </w:pPr>
      <w:r>
        <w:rPr>
          <w:rFonts w:ascii="Arial" w:cs="Arial" w:eastAsia="Arial" w:hAnsi="Arial"/>
          <w:color w:val="1A1714"/>
          <w:sz w:val="20"/>
          <w:szCs w:val="20"/>
        </w:rPr>
        <w:t xml:space="preserve">La stratégie en 3 phases s’inspire directement du playbook Tema’s Cake (digital d’abord, physique ensuite) tout en exploitant les atouts spécifiques du local.</w:t>
      </w:r>
    </w:p>
    <w:p>
      <w:pPr>
        <w:pStyle w:val="Heading2"/>
      </w:pPr>
      <w:r>
        <w:rPr>
          <w:color w:val="A8895C"/>
        </w:rPr>
        <w:t xml:space="preserve">PHASE 1 : ATELIER + CLICK &amp; COLLECT (Mois 1-6)</w:t>
      </w:r>
    </w:p>
    <w:p>
      <w:pPr>
        <w:spacing w:before="80" w:after="80"/>
      </w:pPr>
      <w:r>
        <w:rPr>
          <w:rFonts w:ascii="Arial" w:cs="Arial" w:eastAsia="Arial" w:hAnsi="Arial"/>
          <w:b/>
          <w:bCs/>
          <w:color w:val="A8895C"/>
          <w:sz w:val="20"/>
          <w:szCs w:val="20"/>
        </w:rPr>
        <w:t xml:space="preserve">Investissement : 5 000-7 000€</w:t>
      </w:r>
    </w:p>
    <w:p>
      <w:pPr>
        <w:spacing w:before="80" w:after="80"/>
      </w:pPr>
      <w:r>
        <w:rPr>
          <w:rFonts w:ascii="Arial" w:cs="Arial" w:eastAsia="Arial" w:hAnsi="Arial"/>
          <w:color w:val="1A1714"/>
          <w:sz w:val="20"/>
          <w:szCs w:val="20"/>
        </w:rPr>
        <w:t xml:space="preserve">Le local est aménagé en atelier de production fonctionnel avec un petit espace de présentation et de retrait. Pas de façade luxe. Pas de monolithe noir. Un aménagement propre, épuré, avec l’essentiel : une vitrine réfrigérée compacte, un comptoir de retrait, un éclairage soigné.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c>
          <w:tcPr>
            <w:tcW w:type="dxa" w:w="30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Poste Phase 1</w:t>
            </w:r>
          </w:p>
        </w:tc>
        <w:tc>
          <w:tcPr>
            <w:tcW w:type="dxa" w:w="3526"/>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Détail</w:t>
            </w:r>
          </w:p>
        </w:tc>
        <w:tc>
          <w:tcPr>
            <w:tcW w:type="dxa" w:w="25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Budget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Nettoyage + peinture intérieure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Murs blancs/crème, sol nettoyé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800€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Enseigne simple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Panneau aluminium noir + lettrage doré découpé</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600€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Vitrine réfrigérée comptoir</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Modèle occasion reconditionné ou neuf compact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1 500-2 500€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Éclairage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Spots LED 2700K sur rail (vitrine + comptoir)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400€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Comptoir de retrait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Plan de travail simple + présentoir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500€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Vitre latérale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Habillage filmé + éclairage LED derrière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300€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Rideau métallique (sécurité)</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Si non existant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800-1 200€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sz w:val="18"/>
                <w:szCs w:val="18"/>
              </w:rPr>
              <w:t xml:space="preserve">TOTAL PHASE 1</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sz w:val="18"/>
                <w:szCs w:val="18"/>
              </w:rPr>
              <w:t xml:space="preserve">5 000-7 000€</w:t>
            </w:r>
          </w:p>
        </w:tc>
      </w:tr>
    </w:tbl>
    <w:p>
      <w:pPr>
        <w:spacing w:before="80" w:after="80"/>
      </w:pPr>
      <w:r>
        <w:rPr>
          <w:rFonts w:ascii="Arial" w:cs="Arial" w:eastAsia="Arial" w:hAnsi="Arial"/>
          <w:color w:val="1A1714"/>
          <w:sz w:val="20"/>
          <w:szCs w:val="20"/>
        </w:rPr>
        <w:t xml:space="preserve"/>
      </w:r>
    </w:p>
    <w:p>
      <w:pPr>
        <w:spacing w:before="80" w:after="80"/>
      </w:pPr>
      <w:r>
        <w:rPr>
          <w:rFonts w:ascii="Arial" w:cs="Arial" w:eastAsia="Arial" w:hAnsi="Arial"/>
          <w:b/>
          <w:bCs/>
          <w:color w:val="1A1714"/>
          <w:sz w:val="20"/>
          <w:szCs w:val="20"/>
        </w:rPr>
        <w:t xml:space="preserve">Modèle économique Phase 1 : </w:t>
      </w:r>
      <w:r>
        <w:rPr>
          <w:rFonts w:ascii="Arial" w:cs="Arial" w:eastAsia="Arial" w:hAnsi="Arial"/>
          <w:color w:val="1A1714"/>
          <w:sz w:val="20"/>
          <w:szCs w:val="20"/>
        </w:rPr>
        <w:t xml:space="preserve">80% commandes en ligne (Instagram/TikTok + WhatsApp) avec retrait en boutique. 20% vente directe aux visiteurs. Production à la commande = zéro perte stock. Le contenu TikTok est produit directement depuis l’atelier (tournage des gestes artisanaux, révélation des pièces, préparation des commandes).</w:t>
      </w:r>
    </w:p>
    <w:p>
      <w:pPr>
        <w:pStyle w:val="Heading2"/>
      </w:pPr>
      <w:r>
        <w:rPr>
          <w:color w:val="A8895C"/>
        </w:rPr>
        <w:t xml:space="preserve">PHASE 2 : DESTINATION STORE (Mois 7-12)</w:t>
      </w:r>
    </w:p>
    <w:p>
      <w:pPr>
        <w:spacing w:before="80" w:after="80"/>
      </w:pPr>
      <w:r>
        <w:rPr>
          <w:rFonts w:ascii="Arial" w:cs="Arial" w:eastAsia="Arial" w:hAnsi="Arial"/>
          <w:b/>
          <w:bCs/>
          <w:color w:val="A8895C"/>
          <w:sz w:val="20"/>
          <w:szCs w:val="20"/>
        </w:rPr>
        <w:t xml:space="preserve">Déclencheur : </w:t>
      </w:r>
      <w:r>
        <w:rPr>
          <w:rFonts w:ascii="Arial" w:cs="Arial" w:eastAsia="Arial" w:hAnsi="Arial"/>
          <w:color w:val="1A1714"/>
          <w:sz w:val="20"/>
          <w:szCs w:val="20"/>
        </w:rPr>
        <w:t xml:space="preserve">atteinte de 25+ pièces/jour en moyenne sur 8 semaines consécutives + file d’attente récurrente au retrait.</w:t>
      </w:r>
    </w:p>
    <w:p>
      <w:pPr>
        <w:spacing w:before="80" w:after="80"/>
      </w:pPr>
      <w:r>
        <w:rPr>
          <w:rFonts w:ascii="Arial" w:cs="Arial" w:eastAsia="Arial" w:hAnsi="Arial"/>
          <w:b/>
          <w:bCs/>
          <w:color w:val="A8895C"/>
          <w:sz w:val="20"/>
          <w:szCs w:val="20"/>
        </w:rPr>
        <w:t xml:space="preserve">Investissement supplémentaire : 6 000-8 000€</w:t>
      </w:r>
    </w:p>
    <w:p>
      <w:pPr>
        <w:spacing w:before="80" w:after="80"/>
      </w:pPr>
      <w:r>
        <w:rPr>
          <w:rFonts w:ascii="Arial" w:cs="Arial" w:eastAsia="Arial" w:hAnsi="Arial"/>
          <w:color w:val="1A1714"/>
          <w:sz w:val="20"/>
          <w:szCs w:val="20"/>
        </w:rPr>
        <w:t xml:space="preserve">Si et seulement si les indicateurs Phase 1 sont atteints, on investit dans la transformation visuelle : peinture façade noire (après validation PLU), enseigne laiton rétroéclairée, vitrine latérale transformée en baie fixe avec présentoir 3 étages éclairé, aménagement intérieur complet (revêtement sol, mobilier, amélioration comptoir).</w:t>
      </w:r>
    </w:p>
    <w:p>
      <w:pPr>
        <w:spacing w:before="80" w:after="80"/>
      </w:pPr>
      <w:r>
        <w:rPr>
          <w:rFonts w:ascii="Arial" w:cs="Arial" w:eastAsia="Arial" w:hAnsi="Arial"/>
          <w:color w:val="1A1714"/>
          <w:sz w:val="20"/>
          <w:szCs w:val="20"/>
        </w:rPr>
        <w:t xml:space="preserve">C’est à ce stade seulement que le concept « monolithe noir » prend tout son sens : les clients viennent déjà, la file d’attente crée de la visibilité naturelle, et la façade luxe amplifie un effet qui existe déjà au lieu de tenter de le créer à partir de rien.</w:t>
      </w:r>
    </w:p>
    <w:p>
      <w:pPr>
        <w:pStyle w:val="Heading2"/>
      </w:pPr>
      <w:r>
        <w:rPr>
          <w:color w:val="A8895C"/>
        </w:rPr>
        <w:t xml:space="preserve">PHASE 3 : EXPANSION (Mois 13+)</w:t>
      </w:r>
    </w:p>
    <w:p>
      <w:pPr>
        <w:spacing w:before="80" w:after="80"/>
      </w:pPr>
      <w:r>
        <w:rPr>
          <w:rFonts w:ascii="Arial" w:cs="Arial" w:eastAsia="Arial" w:hAnsi="Arial"/>
          <w:b/>
          <w:bCs/>
          <w:color w:val="A8895C"/>
          <w:sz w:val="20"/>
          <w:szCs w:val="20"/>
        </w:rPr>
        <w:t xml:space="preserve">Déclencheur : </w:t>
      </w:r>
      <w:r>
        <w:rPr>
          <w:rFonts w:ascii="Arial" w:cs="Arial" w:eastAsia="Arial" w:hAnsi="Arial"/>
          <w:color w:val="1A1714"/>
          <w:sz w:val="20"/>
          <w:szCs w:val="20"/>
        </w:rPr>
        <w:t xml:space="preserve">40+ pièces/jour en moyenne + demande B2B régulière de restaurateurs.</w:t>
      </w:r>
    </w:p>
    <w:p>
      <w:pPr>
        <w:spacing w:before="80" w:after="80"/>
      </w:pPr>
      <w:r>
        <w:rPr>
          <w:rFonts w:ascii="Arial" w:cs="Arial" w:eastAsia="Arial" w:hAnsi="Arial"/>
          <w:color w:val="1A1714"/>
          <w:sz w:val="20"/>
          <w:szCs w:val="20"/>
        </w:rPr>
        <w:t xml:space="preserve">Ouverture d’un second point de vente dans un quartier à plus fort pouvoir d’achat (Prado, Castellane, Cours Julien) ou intégration en centre commercial. Le local de Saint-Antoine devient l’atelier de production central, libérant l’espace de vente du nouveau point.</w:t>
      </w:r>
    </w:p>
    <w:p>
      <w:r>
        <w:br w:type="page"/>
      </w:r>
    </w:p>
    <w:p>
      <w:pPr>
        <w:pStyle w:val="Heading1"/>
      </w:pPr>
      <w:r>
        <w:rPr>
          <w:color w:val="1A1714"/>
        </w:rPr>
        <w:t xml:space="preserve">8. BUDGET D’IMPLANTATION PHASÉ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c>
          <w:tcPr>
            <w:tcW w:type="dxa" w:w="25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Poste</w:t>
            </w:r>
          </w:p>
        </w:tc>
        <w:tc>
          <w:tcPr>
            <w:tcW w:type="dxa" w:w="2175"/>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Phase 1 (M1-6)</w:t>
            </w:r>
          </w:p>
        </w:tc>
        <w:tc>
          <w:tcPr>
            <w:tcW w:type="dxa" w:w="2175"/>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Phase 2 (M7-12)</w:t>
            </w:r>
          </w:p>
        </w:tc>
        <w:tc>
          <w:tcPr>
            <w:tcW w:type="dxa" w:w="2176"/>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Total cumulé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Aménagement local</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5 000-7 000€</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6 000-8 000€</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11 000-15 000€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Fonds de roulement (tréso négative)</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5 000-10 000€</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0€ (autofinancé)</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5 000-10 000€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Packaging Phase 1 (CDC V2)</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3 600€</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Réapprovisionnement</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3 600€+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Marketing digital (contenu, boost)</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500€</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1 000€</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1 500€</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sz w:val="18"/>
                <w:szCs w:val="18"/>
              </w:rPr>
              <w:t xml:space="preserve">TOTAL</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sz w:val="18"/>
                <w:szCs w:val="18"/>
              </w:rPr>
              <w:t xml:space="preserve">14 100-21 100€</w:t>
            </w:r>
          </w:p>
        </w:tc>
        <w:tc>
          <w:tcPr>
            <w:tcW w:type="dxa" w:w="2175"/>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sz w:val="18"/>
                <w:szCs w:val="18"/>
              </w:rPr>
              <w:t xml:space="preserve">7 000-9 000€</w:t>
            </w:r>
          </w:p>
        </w:tc>
        <w:tc>
          <w:tcPr>
            <w:tcW w:type="dxa" w:w="2176"/>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b/>
                <w:bCs/>
                <w:sz w:val="18"/>
                <w:szCs w:val="18"/>
              </w:rPr>
              <w:t xml:space="preserve">21 100-30 100€</w:t>
            </w:r>
          </w:p>
        </w:tc>
      </w:tr>
    </w:tbl>
    <w:p>
      <w:pPr>
        <w:spacing w:before="80" w:after="80"/>
      </w:pPr>
      <w:r>
        <w:rPr>
          <w:rFonts w:ascii="Arial" w:cs="Arial" w:eastAsia="Arial" w:hAnsi="Arial"/>
          <w:color w:val="1A1714"/>
          <w:sz w:val="20"/>
          <w:szCs w:val="20"/>
        </w:rPr>
        <w:t xml:space="preserve"/>
      </w:r>
    </w:p>
    <w:p>
      <w:pPr>
        <w:spacing w:before="80" w:after="80"/>
      </w:pPr>
      <w:r>
        <w:rPr>
          <w:rFonts w:ascii="Arial" w:cs="Arial" w:eastAsia="Arial" w:hAnsi="Arial"/>
          <w:b/>
          <w:bCs/>
          <w:color w:val="1A1714"/>
          <w:sz w:val="20"/>
          <w:szCs w:val="20"/>
        </w:rPr>
        <w:t xml:space="preserve">Comparaison : </w:t>
      </w:r>
      <w:r>
        <w:rPr>
          <w:rFonts w:ascii="Arial" w:cs="Arial" w:eastAsia="Arial" w:hAnsi="Arial"/>
          <w:color w:val="1A1714"/>
          <w:sz w:val="20"/>
          <w:szCs w:val="20"/>
        </w:rPr>
        <w:t xml:space="preserve">le dossier V1 prévoyait 12-15K d’aménagement dès le jour 1, sans fonds de roulement ni budget marketing. L’approche phasée coûte plus au total (21-30K) mais étale le risque et conditionne chaque investissement à des résultats mesurables. On ne dépense les 7-9K de Phase 2 que si Phase 1 valide le modèle.</w:t>
      </w:r>
    </w:p>
    <w:p>
      <w:r>
        <w:br w:type="page"/>
      </w:r>
    </w:p>
    <w:p>
      <w:pPr>
        <w:pStyle w:val="Heading1"/>
      </w:pPr>
      <w:r>
        <w:rPr>
          <w:color w:val="1A1714"/>
        </w:rPr>
        <w:t xml:space="preserve">9. INDICATEURS DE DÉCLENCHEMENT (GO / NO-GO)</w:t>
      </w:r>
    </w:p>
    <w:p>
      <w:pPr>
        <w:pStyle w:val="Heading2"/>
      </w:pPr>
      <w:r>
        <w:rPr>
          <w:color w:val="A8895C"/>
        </w:rPr>
        <w:t xml:space="preserve">9.1 Avant signature du bail : vérifications obligatoires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c>
          <w:tcPr>
            <w:tcW w:type="dxa" w:w="32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Vérification</w:t>
            </w:r>
          </w:p>
        </w:tc>
        <w:tc>
          <w:tcPr>
            <w:tcW w:type="dxa" w:w="2913"/>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Résultat attendu</w:t>
            </w:r>
          </w:p>
        </w:tc>
        <w:tc>
          <w:tcPr>
            <w:tcW w:type="dxa" w:w="2913"/>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Si non conforme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Périmètre du bail (RDC seul ou avec étage ?)</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Confirmation écrite du bailleur</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Adapter le plan (pas de mezzanine)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Autorisation façade noire (PLU + copro)</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Accord écrit ou absence d’interdiction</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Repousser la façade à Phase 2 ou adapter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Statut du parking (public, privé, pérenne ?)</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Parking accessible garanti</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Reconsidérer si parking non garanti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Conformité local alimentaire (normes ERP)</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Local compatible activité alimentaire ou mise aux normes &lt; 2K€</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Si mise aux normes &gt; 5K€ : abandonner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Débit électrique suffisant (vitrine + atelier)</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Minimum triphasé ou upgrade possible</w:t>
            </w:r>
          </w:p>
        </w:tc>
        <w:tc>
          <w:tcPr>
            <w:tcW w:type="dxa" w:w="291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Vérifier coût upgrade Enedis</w:t>
            </w:r>
          </w:p>
        </w:tc>
      </w:tr>
    </w:tbl>
    <w:p>
      <w:pPr>
        <w:pStyle w:val="Heading2"/>
      </w:pPr>
      <w:r>
        <w:rPr>
          <w:color w:val="A8895C"/>
        </w:rPr>
        <w:t xml:space="preserve">9.2 Indicateurs Go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KPI</w:t>
            </w:r>
          </w:p>
        </w:tc>
        <w:tc>
          <w:tcPr>
            <w:tcW w:type="dxa" w:w="2763"/>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Seuil minimum</w:t>
            </w:r>
          </w:p>
        </w:tc>
        <w:tc>
          <w:tcPr>
            <w:tcW w:type="dxa" w:w="2763"/>
            <w:tcBorders>
              <w:top w:val="single" w:color="CCCCCC" w:sz="1"/>
              <w:left w:val="single" w:color="CCCCCC" w:sz="1"/>
              <w:bottom w:val="single" w:color="CCCCCC" w:sz="1"/>
              <w:right w:val="single" w:color="CCCCCC" w:sz="1"/>
            </w:tcBorders>
            <w:shd w:fill="1A1714" w:val="clear"/>
            <w:tcMar>
              <w:top w:type="dxa" w:w="60"/>
              <w:left w:type="dxa" w:w="100"/>
              <w:bottom w:type="dxa" w:w="60"/>
              <w:right w:type="dxa" w:w="100"/>
            </w:tcMar>
          </w:tcPr>
          <w:p>
            <w:pPr>
              <w:spacing w:before="30" w:after="30"/>
            </w:pPr>
            <w:r>
              <w:rPr>
                <w:rFonts w:ascii="Arial" w:cs="Arial" w:eastAsia="Arial" w:hAnsi="Arial"/>
                <w:b/>
                <w:bCs/>
                <w:color w:val="FFFFFF"/>
                <w:sz w:val="18"/>
                <w:szCs w:val="18"/>
              </w:rPr>
              <w:t xml:space="preserve">Seuil idéal</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Pièces vendues / jour (moyenne 8 sem.)</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25 pcs/jour</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35+ pcs/jour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CA mensuel</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5 200€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7 000€+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Followers TikTok/Instagram</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5 000</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10 000+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Taux de commande en ligne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&gt; 50% du CA</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&gt; 70% du CA</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File d’attente retrait</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Récurrente</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Quotidienne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Demandes B2B (restaurateurs)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2+ contacts/mois</w:t>
            </w:r>
          </w:p>
        </w:tc>
        <w:tc>
          <w:tcPr>
            <w:tcW w:type="dxa" w:w="2763"/>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before="30" w:after="30"/>
            </w:pPr>
            <w:r>
              <w:rPr>
                <w:rFonts w:ascii="Arial" w:cs="Arial" w:eastAsia="Arial" w:hAnsi="Arial"/>
                <w:color w:val="1A1714"/>
                <w:sz w:val="18"/>
                <w:szCs w:val="18"/>
              </w:rPr>
              <w:t xml:space="preserve">5+ contacts/mois</w:t>
            </w:r>
          </w:p>
        </w:tc>
      </w:tr>
    </w:tbl>
    <w:p>
      <w:pPr>
        <w:spacing w:before="80" w:after="80"/>
      </w:pPr>
      <w:r>
        <w:rPr>
          <w:rFonts w:ascii="Arial" w:cs="Arial" w:eastAsia="Arial" w:hAnsi="Arial"/>
          <w:color w:val="1A1714"/>
          <w:sz w:val="20"/>
          <w:szCs w:val="20"/>
        </w:rPr>
        <w:t xml:space="preserve"/>
      </w:r>
    </w:p>
    <w:p>
      <w:pPr>
        <w:spacing w:before="80" w:after="80"/>
      </w:pPr>
      <w:r>
        <w:rPr>
          <w:rFonts w:ascii="Arial" w:cs="Arial" w:eastAsia="Arial" w:hAnsi="Arial"/>
          <w:b/>
          <w:bCs/>
          <w:color w:val="A8895C"/>
          <w:sz w:val="20"/>
          <w:szCs w:val="20"/>
        </w:rPr>
        <w:t xml:space="preserve">Règle d’or : </w:t>
      </w:r>
      <w:r>
        <w:rPr>
          <w:rFonts w:ascii="Arial" w:cs="Arial" w:eastAsia="Arial" w:hAnsi="Arial"/>
          <w:color w:val="1A1714"/>
          <w:sz w:val="20"/>
          <w:szCs w:val="20"/>
        </w:rPr>
        <w:t xml:space="preserve">si après 6 mois de Phase 1 les seuils minimum ne sont pas atteints, ne PAS passer en Phase 2. Continuer en mode atelier + click &amp; collect (coût fixe minimal à 750€/mois) et pivoter la stratégie digitale. Le loyer bas permet de survivre longtemps sans le volume, c’est le vrai filet de sécurité.</w:t>
      </w:r>
    </w:p>
    <w:p>
      <w:pPr>
        <w:pBdr>
          <w:bottom w:val="single" w:color="A8895C" w:sz="6" w:space="1"/>
        </w:pBdr>
        <w:spacing w:before="120" w:after="120"/>
      </w:pPr>
    </w:p>
    <w:p>
      <w:pPr>
        <w:spacing w:before="300"/>
        <w:jc w:val="center"/>
      </w:pPr>
      <w:r>
        <w:rPr>
          <w:rFonts w:ascii="Arial" w:cs="Arial" w:eastAsia="Arial" w:hAnsi="Arial"/>
          <w:color w:val="A8895C"/>
          <w:sz w:val="18"/>
          <w:szCs w:val="18"/>
        </w:rPr>
        <w:t xml:space="preserve">MAISON MIRAGE — contact@lamaisonmirage.com — lamaisonmirage.com</w:t>
      </w:r>
    </w:p>
    <w:p>
      <w:pPr>
        <w:jc w:val="center"/>
      </w:pPr>
      <w:r>
        <w:rPr>
          <w:rFonts w:ascii="Arial" w:cs="Arial" w:eastAsia="Arial" w:hAnsi="Arial"/>
          <w:color w:val="1A1714"/>
          <w:sz w:val="16"/>
          <w:szCs w:val="16"/>
        </w:rPr>
        <w:t xml:space="preserve">Document confidentiel — Mars 2026 — Version 2.0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4"/>
        <w:szCs w:val="14"/>
      </w:rPr>
      <w:t xml:space="preserve">Document confidentiel</w:t>
    </w:r>
    <w:r>
      <w:rPr>
        <w:rFonts w:ascii="Arial" w:cs="Arial" w:eastAsia="Arial" w:hAnsi="Arial"/>
        <w:color w:val="999999"/>
        <w:sz w:val="14"/>
        <w:szCs w:val="14"/>
      </w:rPr>
      <w:t xml:space="preserve">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9AA7C"/>
        <w:sz w:val="14"/>
        <w:szCs w:val="14"/>
      </w:rPr>
      <w:t xml:space="preserve">MAISON MIRAGE — Dossier d’Implantation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714"/>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A8895C"/>
      <w:sz w:val="24"/>
      <w:szCs w:val="24"/>
    </w:rPr>
  </w:style>
  <w:style w:type="paragraph" w:styleId="Heading3">
    <w:name w:val="Heading 3"/>
    <w:basedOn w:val="Normal"/>
    <w:next w:val="Normal"/>
    <w:qFormat/>
    <w:pPr>
      <w:spacing w:before="160" w:after="100"/>
      <w:outlineLvl w:val="2"/>
    </w:pPr>
    <w:rPr>
      <w:rFonts w:ascii="Arial" w:cs="Arial" w:eastAsia="Arial" w:hAnsi="Arial"/>
      <w:b/>
      <w:bCs/>
      <w:color w:val="1A17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4d53165f0b73357ef0cd2fc66a7d1ba43fb051e.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2026-03-14T15:40:51.386Z</dcterms:created>
  <dcterms:modified xsi:type="dcterms:W3CDTF">2026-03-14T15:40:51.386Z</dcterms:modified>
</cp:coreProperties>
</file>

<file path=docProps/custom.xml><?xml version="1.0" encoding="utf-8"?>
<Properties xmlns="http://schemas.openxmlformats.org/officeDocument/2006/custom-properties" xmlns:vt="http://schemas.openxmlformats.org/officeDocument/2006/docPropsVTypes"/>
</file>