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jc w:val="center"/>
      </w:pPr>
      <w:r>
        <w:drawing>
          <wp:inline distT="0" distB="0" distL="0" distR="0">
            <wp:extent cx="857250" cy="857250"/>
            <wp:effectExtent t="0" r="0" b="0" l="0"/>
            <wp:docPr id="1" name="logo" descr="Logo Maison Mirag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857250"/>
                    </a:xfrm>
                    <a:prstGeom prst="rect">
                      <a:avLst/>
                    </a:prstGeom>
                  </pic:spPr>
                </pic:pic>
              </a:graphicData>
            </a:graphic>
          </wp:inline>
        </w:drawing>
      </w:r>
    </w:p>
    <w:p>
      <w:pPr>
        <w:spacing w:before="200" w:after="200"/>
      </w:pPr>
    </w:p>
    <w:p>
      <w:pPr>
        <w:spacing w:after="80"/>
        <w:jc w:val="center"/>
      </w:pPr>
      <w:r>
        <w:rPr>
          <w:rFonts w:ascii="Arial" w:cs="Arial" w:eastAsia="Arial" w:hAnsi="Arial"/>
          <w:b/>
          <w:bCs/>
          <w:color w:val="1A1714"/>
          <w:spacing w:val="120"/>
          <w:sz w:val="32"/>
          <w:szCs w:val="32"/>
        </w:rPr>
        <w:t xml:space="preserve">M A I S O N   M I R A G E</w:t>
      </w:r>
    </w:p>
    <w:p>
      <w:pPr>
        <w:spacing w:after="400"/>
        <w:jc w:val="center"/>
      </w:pPr>
      <w:r>
        <w:rPr>
          <w:rFonts w:ascii="Arial" w:cs="Arial" w:eastAsia="Arial" w:hAnsi="Arial"/>
          <w:i/>
          <w:iCs/>
          <w:color w:val="A8895C"/>
          <w:sz w:val="20"/>
          <w:szCs w:val="20"/>
        </w:rPr>
        <w:t xml:space="preserve">Haute Pâtisserie Trompe-l’Œil · Marseille</w:t>
      </w:r>
    </w:p>
    <w:p>
      <w:pPr>
        <w:pBdr>
          <w:bottom w:val="single" w:color="A8895C" w:sz="3" w:space="8"/>
        </w:pBdr>
        <w:spacing w:before="200" w:after="200"/>
      </w:pPr>
    </w:p>
    <w:p>
      <w:pPr>
        <w:spacing w:before="200" w:after="200"/>
      </w:pPr>
    </w:p>
    <w:p>
      <w:pPr>
        <w:spacing w:after="120"/>
        <w:jc w:val="center"/>
      </w:pPr>
      <w:r>
        <w:rPr>
          <w:rFonts w:ascii="Arial" w:cs="Arial" w:eastAsia="Arial" w:hAnsi="Arial"/>
          <w:b/>
          <w:bCs/>
          <w:color w:val="1A1714"/>
          <w:sz w:val="36"/>
          <w:szCs w:val="36"/>
        </w:rPr>
        <w:t xml:space="preserve">DOSSIER D’IMPLANTATION STRATÉGIQUE</w:t>
      </w:r>
    </w:p>
    <w:p>
      <w:pPr>
        <w:spacing w:after="80"/>
        <w:jc w:val="center"/>
      </w:pPr>
      <w:r>
        <w:rPr>
          <w:rFonts w:ascii="Arial" w:cs="Arial" w:eastAsia="Arial" w:hAnsi="Arial"/>
          <w:color w:val="2C2824"/>
          <w:sz w:val="22"/>
          <w:szCs w:val="22"/>
        </w:rPr>
        <w:t xml:space="preserve">Route de la Gavotte · Saint-Antoine · 13015 Marseille</w:t>
      </w:r>
    </w:p>
    <w:p>
      <w:pPr>
        <w:spacing w:before="120" w:after="120"/>
      </w:pPr>
    </w:p>
    <w:p>
      <w:pPr>
        <w:spacing w:after="80"/>
        <w:jc w:val="center"/>
      </w:pPr>
      <w:r>
        <w:rPr>
          <w:rFonts w:ascii="Arial" w:cs="Arial" w:eastAsia="Arial" w:hAnsi="Arial"/>
          <w:b/>
          <w:bCs/>
          <w:color w:val="A8895C"/>
          <w:sz w:val="18"/>
          <w:szCs w:val="18"/>
        </w:rPr>
        <w:t xml:space="preserve">VERSION 3.0 — ANALYSE MARCHÉ VALIDÉE &amp; STRATÉGIE OFFENSIVE</w:t>
      </w:r>
    </w:p>
    <w:p>
      <w:pPr>
        <w:jc w:val="center"/>
      </w:pPr>
      <w:r>
        <w:rPr>
          <w:rFonts w:ascii="Arial" w:cs="Arial" w:eastAsia="Arial" w:hAnsi="Arial"/>
          <w:color w:val="6B6560"/>
          <w:sz w:val="18"/>
          <w:szCs w:val="18"/>
        </w:rPr>
        <w:t xml:space="preserve">Mars 2026 — Document confidentiel</w:t>
      </w:r>
    </w:p>
    <w:p>
      <w:pPr>
        <w:spacing w:before="600" w:after="600"/>
      </w:pPr>
    </w:p>
    <w:p>
      <w:pPr>
        <w:pBdr>
          <w:bottom w:val="single" w:color="A8895C" w:sz="3" w:space="8"/>
        </w:pBdr>
        <w:spacing w:before="200" w:after="200"/>
      </w:pPr>
    </w:p>
    <w:p>
      <w:pPr>
        <w:jc w:val="center"/>
      </w:pPr>
      <w:r>
        <w:rPr>
          <w:rFonts w:ascii="Arial" w:cs="Arial" w:eastAsia="Arial" w:hAnsi="Arial"/>
          <w:color w:val="6B6560"/>
          <w:sz w:val="18"/>
          <w:szCs w:val="18"/>
        </w:rPr>
        <w:t xml:space="preserve">Contact : Hamza Hamdi — contact@lamaisonmirage.com</w:t>
      </w:r>
    </w:p>
    <w:p>
      <w:pPr>
        <w:sectPr>
          <w:pgSz w:w="11906" w:h="16838" w:orient="portrait"/>
          <w:pgMar w:top="1440" w:right="1440" w:bottom="1440" w:left="1440" w:header="708" w:footer="708" w:gutter="0"/>
          <w:pgNumType/>
          <w:docGrid w:linePitch="360"/>
        </w:sectPr>
      </w:pPr>
    </w:p>
    <w:p>
      <w:pPr>
        <w:spacing w:after="300"/>
      </w:pPr>
      <w:r>
        <w:rPr>
          <w:rFonts w:ascii="Arial" w:cs="Arial" w:eastAsia="Arial" w:hAnsi="Arial"/>
          <w:b/>
          <w:bCs/>
          <w:color w:val="1A1714"/>
          <w:sz w:val="28"/>
          <w:szCs w:val="28"/>
        </w:rPr>
        <w:t xml:space="preserve">TABLE DES MATIÈRES</w:t>
      </w:r>
    </w:p>
    <w:p>
      <w:pPr>
        <w:pBdr>
          <w:bottom w:val="single" w:color="A8895C" w:sz="3" w:space="8"/>
        </w:pBdr>
        <w:spacing w:before="200" w:after="200"/>
      </w:pPr>
    </w:p>
    <w:p>
      <w:pPr>
        <w:tabs>
          <w:tab w:val="right" w:pos="9026"/>
        </w:tabs>
        <w:spacing w:before="140" w:after="140"/>
      </w:pPr>
      <w:r>
        <w:rPr>
          <w:rFonts w:ascii="Arial" w:cs="Arial" w:eastAsia="Arial" w:hAnsi="Arial"/>
          <w:b/>
          <w:bCs/>
          <w:color w:val="A8895C"/>
          <w:sz w:val="22"/>
          <w:szCs w:val="22"/>
        </w:rPr>
        <w:t xml:space="preserve">1. Synthèse exécutive</w:t>
      </w:r>
    </w:p>
    <w:p>
      <w:pPr>
        <w:tabs>
          <w:tab w:val="right" w:pos="9026"/>
        </w:tabs>
        <w:spacing w:before="140" w:after="140"/>
      </w:pPr>
      <w:r>
        <w:rPr>
          <w:rFonts w:ascii="Arial" w:cs="Arial" w:eastAsia="Arial" w:hAnsi="Arial"/>
          <w:b w:val="false"/>
          <w:bCs w:val="false"/>
          <w:color w:val="2C2824"/>
          <w:sz w:val="22"/>
          <w:szCs w:val="22"/>
        </w:rPr>
        <w:t xml:space="preserve">2. Analyse du local : atouts confirmés</w:t>
      </w:r>
    </w:p>
    <w:p>
      <w:pPr>
        <w:tabs>
          <w:tab w:val="right" w:pos="9026"/>
        </w:tabs>
        <w:spacing w:before="140" w:after="140"/>
      </w:pPr>
      <w:r>
        <w:rPr>
          <w:rFonts w:ascii="Arial" w:cs="Arial" w:eastAsia="Arial" w:hAnsi="Arial"/>
          <w:b w:val="false"/>
          <w:bCs w:val="false"/>
          <w:color w:val="2C2824"/>
          <w:sz w:val="22"/>
          <w:szCs w:val="22"/>
        </w:rPr>
        <w:t xml:space="preserve">3. Le marché parle : l’Avenue de Saint-Antoine, corridor dessert validé</w:t>
      </w:r>
    </w:p>
    <w:p>
      <w:pPr>
        <w:tabs>
          <w:tab w:val="right" w:pos="9026"/>
        </w:tabs>
        <w:spacing w:before="140" w:after="140"/>
      </w:pPr>
      <w:r>
        <w:rPr>
          <w:rFonts w:ascii="Arial" w:cs="Arial" w:eastAsia="Arial" w:hAnsi="Arial"/>
          <w:b w:val="false"/>
          <w:bCs w:val="false"/>
          <w:color w:val="2C2824"/>
          <w:sz w:val="22"/>
          <w:szCs w:val="22"/>
        </w:rPr>
        <w:t xml:space="preserve">4. Benchmark concurrentiel : 5 enseignes, zéro trompe-l’œil</w:t>
      </w:r>
    </w:p>
    <w:p>
      <w:pPr>
        <w:tabs>
          <w:tab w:val="right" w:pos="9026"/>
        </w:tabs>
        <w:spacing w:before="140" w:after="140"/>
      </w:pPr>
      <w:r>
        <w:rPr>
          <w:rFonts w:ascii="Arial" w:cs="Arial" w:eastAsia="Arial" w:hAnsi="Arial"/>
          <w:b w:val="false"/>
          <w:bCs w:val="false"/>
          <w:color w:val="2C2824"/>
          <w:sz w:val="22"/>
          <w:szCs w:val="22"/>
        </w:rPr>
        <w:t xml:space="preserve">5. L’avantage Maison Mirage : le seul positionnement premium</w:t>
      </w:r>
    </w:p>
    <w:p>
      <w:pPr>
        <w:tabs>
          <w:tab w:val="right" w:pos="9026"/>
        </w:tabs>
        <w:spacing w:before="140" w:after="140"/>
      </w:pPr>
      <w:r>
        <w:rPr>
          <w:rFonts w:ascii="Arial" w:cs="Arial" w:eastAsia="Arial" w:hAnsi="Arial"/>
          <w:b w:val="false"/>
          <w:bCs w:val="false"/>
          <w:color w:val="2C2824"/>
          <w:sz w:val="22"/>
          <w:szCs w:val="22"/>
        </w:rPr>
        <w:t xml:space="preserve">6. Viabilité économique : break-even réaliste et atteignable</w:t>
      </w:r>
    </w:p>
    <w:p>
      <w:pPr>
        <w:tabs>
          <w:tab w:val="right" w:pos="9026"/>
        </w:tabs>
        <w:spacing w:before="140" w:after="140"/>
      </w:pPr>
      <w:r>
        <w:rPr>
          <w:rFonts w:ascii="Arial" w:cs="Arial" w:eastAsia="Arial" w:hAnsi="Arial"/>
          <w:b w:val="false"/>
          <w:bCs w:val="false"/>
          <w:color w:val="2C2824"/>
          <w:sz w:val="22"/>
          <w:szCs w:val="22"/>
        </w:rPr>
        <w:t xml:space="preserve">7. Matrice risques / opportunités</w:t>
      </w:r>
    </w:p>
    <w:p>
      <w:pPr>
        <w:tabs>
          <w:tab w:val="right" w:pos="9026"/>
        </w:tabs>
        <w:spacing w:before="140" w:after="140"/>
      </w:pPr>
      <w:r>
        <w:rPr>
          <w:rFonts w:ascii="Arial" w:cs="Arial" w:eastAsia="Arial" w:hAnsi="Arial"/>
          <w:b w:val="false"/>
          <w:bCs w:val="false"/>
          <w:color w:val="2C2824"/>
          <w:sz w:val="22"/>
          <w:szCs w:val="22"/>
        </w:rPr>
        <w:t xml:space="preserve">8. Stratégie d’implantation : arriver fort, frapper fort</w:t>
      </w:r>
    </w:p>
    <w:p>
      <w:pPr>
        <w:tabs>
          <w:tab w:val="right" w:pos="9026"/>
        </w:tabs>
        <w:spacing w:before="140" w:after="140"/>
      </w:pPr>
      <w:r>
        <w:rPr>
          <w:rFonts w:ascii="Arial" w:cs="Arial" w:eastAsia="Arial" w:hAnsi="Arial"/>
          <w:b w:val="false"/>
          <w:bCs w:val="false"/>
          <w:color w:val="2C2824"/>
          <w:sz w:val="22"/>
          <w:szCs w:val="22"/>
        </w:rPr>
        <w:t xml:space="preserve">9. Budget d’implantation avec facilité de paiement</w:t>
      </w:r>
    </w:p>
    <w:p>
      <w:pPr>
        <w:tabs>
          <w:tab w:val="right" w:pos="9026"/>
        </w:tabs>
        <w:spacing w:before="140" w:after="140"/>
      </w:pPr>
      <w:r>
        <w:rPr>
          <w:rFonts w:ascii="Arial" w:cs="Arial" w:eastAsia="Arial" w:hAnsi="Arial"/>
          <w:b w:val="false"/>
          <w:bCs w:val="false"/>
          <w:color w:val="2C2824"/>
          <w:sz w:val="22"/>
          <w:szCs w:val="22"/>
        </w:rPr>
        <w:t xml:space="preserve">10. Plan de lancement : les 90 jours qui changent tout</w:t>
      </w:r>
    </w:p>
    <w:p>
      <w:pPr>
        <w:pBdr>
          <w:bottom w:val="single" w:color="A8895C" w:sz="3" w:space="8"/>
        </w:pBdr>
        <w:spacing w:before="200" w:after="200"/>
      </w:pPr>
    </w:p>
    <w:p>
      <w:r>
        <w:br w:type="page"/>
      </w:r>
    </w:p>
    <w:p>
      <w:pPr>
        <w:pStyle w:val="Heading1"/>
        <w:spacing w:before="360" w:after="160"/>
      </w:pPr>
      <w:r>
        <w:rPr>
          <w:rFonts w:ascii="Arial" w:cs="Arial" w:eastAsia="Arial" w:hAnsi="Arial"/>
          <w:b/>
          <w:bCs/>
          <w:color w:val="1A1714"/>
          <w:sz w:val="28"/>
          <w:szCs w:val="28"/>
        </w:rPr>
        <w:t xml:space="preserve">1. SYNTHÈSE EXÉCUTIVE</w:t>
      </w:r>
    </w:p>
    <w:p>
      <w:pPr>
        <w:pBdr>
          <w:bottom w:val="single" w:color="A8895C" w:sz="3" w:space="8"/>
        </w:pBdr>
        <w:spacing w:before="200" w:after="200"/>
      </w:pPr>
    </w:p>
    <w:p>
      <w:pPr>
        <w:pBdr>
          <w:left w:val="single" w:color="A8895C" w:sz="8" w:space="12"/>
        </w:pBdr>
        <w:spacing w:before="200" w:after="200"/>
        <w:ind w:left="400" w:right="400"/>
      </w:pPr>
      <w:r>
        <w:rPr>
          <w:rFonts w:ascii="Arial" w:cs="Arial" w:eastAsia="Arial" w:hAnsi="Arial"/>
          <w:i/>
          <w:iCs/>
          <w:color w:val="1A1714"/>
          <w:sz w:val="20"/>
          <w:szCs w:val="20"/>
        </w:rPr>
        <w:t xml:space="preserve">Verdict : Le local de la Route de la Gavotte n’est pas un pari — c’est une évidence. Le marché a déjà voté.</w:t>
      </w:r>
    </w:p>
    <w:p>
      <w:pPr>
        <w:spacing w:after="120" w:line="320"/>
        <w:jc w:val="both"/>
      </w:pPr>
      <w:r>
        <w:rPr>
          <w:rFonts w:ascii="Arial" w:cs="Arial" w:eastAsia="Arial" w:hAnsi="Arial"/>
          <w:b w:val="false"/>
          <w:bCs w:val="false"/>
          <w:i w:val="false"/>
          <w:iCs w:val="false"/>
          <w:color w:val="2C2824"/>
          <w:sz w:val="20"/>
          <w:szCs w:val="20"/>
        </w:rPr>
        <w:t xml:space="preserve">Le quartier Saint-Antoine est devenu en 2024-2025 le pôle dessert le plus dynamique des quartiers nord de Marseille. Sur l’Avenue de Saint-Antoine, à quelques minutes du local, cinq enseignes — Love Dessert (n°167), Mac’Addict (n°163), Dubai Sweet (n°157), Baking Bad (n°152), Le Spécial + Be Brownie (n°212) — opèrent avec succès, certaines 7j/7 jusqu’à minuit, d’autres en franchise multi-sites.</w:t>
      </w:r>
    </w:p>
    <w:p>
      <w:pPr>
        <w:spacing w:after="120" w:line="320"/>
        <w:jc w:val="both"/>
      </w:pPr>
      <w:r>
        <w:rPr>
          <w:rFonts w:ascii="Arial" w:cs="Arial" w:eastAsia="Arial" w:hAnsi="Arial"/>
          <w:b w:val="false"/>
          <w:bCs w:val="false"/>
          <w:i w:val="false"/>
          <w:iCs w:val="false"/>
          <w:color w:val="2C2824"/>
          <w:sz w:val="20"/>
          <w:szCs w:val="20"/>
        </w:rPr>
        <w:t xml:space="preserve">Le marché existe. Le flux existe. Le pouvoir d’achat dessert existe. Ce qui n’existe PAS encore dans le quartier, c’est le segment premium. Aucune de ces enseignes ne propose de la haute pâtisserie. Aucune ne fait du trompe-l’œil. Aucune ne joue la carte du luxe accessible. C’est exactement la place que Maison Mirage doit occuper.</w:t>
      </w:r>
    </w:p>
    <w:p>
      <w:pPr>
        <w:spacing w:after="120" w:line="320"/>
        <w:jc w:val="both"/>
      </w:pPr>
      <w:r>
        <w:rPr>
          <w:rFonts w:ascii="Arial" w:cs="Arial" w:eastAsia="Arial" w:hAnsi="Arial"/>
          <w:b w:val="false"/>
          <w:bCs w:val="false"/>
          <w:i w:val="false"/>
          <w:iCs w:val="false"/>
          <w:color w:val="2C2824"/>
          <w:sz w:val="20"/>
          <w:szCs w:val="20"/>
        </w:rPr>
        <w:t xml:space="preserve">Le local de la Route de la Gavotte bénéficie directement de cet écosystème : même bassin de chalandise, même flux de transit, mais un loyer de 750€/mois — une anomalie stratégique qui offre l’accès à ce marché validé avec un risque financier quasi nul. Le parking gratuit, la double vitrine et la position d’angle complètent le tableau.</w:t>
      </w:r>
    </w:p>
    <w:p>
      <w:pPr>
        <w:spacing w:before="160" w:after="160"/>
        <w:jc w:val="center"/>
      </w:pPr>
      <w:r>
        <w:rPr>
          <w:rFonts w:ascii="Georgia" w:cs="Georgia" w:eastAsia="Georgia" w:hAnsi="Georgia"/>
          <w:i/>
          <w:iCs/>
          <w:color w:val="A8895C"/>
          <w:sz w:val="24"/>
          <w:szCs w:val="24"/>
        </w:rPr>
        <w:t xml:space="preserve">« Dans un quartier qui bouge, on n’arrive pas discrètement. On frappe fort ou on reste chez soi. »</w:t>
      </w:r>
    </w:p>
    <w:p>
      <w:pPr>
        <w:spacing w:before="120" w:after="120"/>
      </w:pPr>
    </w:p>
    <w:p>
      <w:pPr>
        <w:pStyle w:val="Heading2"/>
        <w:spacing w:before="280" w:after="120"/>
      </w:pPr>
      <w:r>
        <w:rPr>
          <w:rFonts w:ascii="Arial" w:cs="Arial" w:eastAsia="Arial" w:hAnsi="Arial"/>
          <w:b/>
          <w:bCs/>
          <w:color w:val="A8895C"/>
          <w:sz w:val="24"/>
          <w:szCs w:val="24"/>
        </w:rPr>
        <w:t xml:space="preserve">Tableau de scoring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3826"/>
      </w:tblGrid>
      <w:tr>
        <w:tc>
          <w:tcPr>
            <w:tcW w:type="dxa" w:w="22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Critère</w:t>
            </w:r>
          </w:p>
        </w:tc>
        <w:tc>
          <w:tcPr>
            <w:tcW w:type="dxa" w:w="10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Score V1</w:t>
            </w:r>
          </w:p>
        </w:tc>
        <w:tc>
          <w:tcPr>
            <w:tcW w:type="dxa" w:w="10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Score V2</w:t>
            </w:r>
          </w:p>
        </w:tc>
        <w:tc>
          <w:tcPr>
            <w:tcW w:type="dxa" w:w="10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Score V3</w:t>
            </w:r>
          </w:p>
        </w:tc>
        <w:tc>
          <w:tcPr>
            <w:tcW w:type="dxa" w:w="3826"/>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Justification V3</w:t>
            </w:r>
          </w:p>
        </w:tc>
      </w:tr>
      <w:tr>
        <w:tc>
          <w:tcPr>
            <w:tcW w:type="dxa" w:w="2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Attractivité du local</w:t>
            </w:r>
          </w:p>
        </w:tc>
        <w:tc>
          <w:tcPr>
            <w:tcW w:type="dxa" w:w="1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9/10</w:t>
            </w:r>
          </w:p>
        </w:tc>
        <w:tc>
          <w:tcPr>
            <w:tcW w:type="dxa" w:w="1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6/10</w:t>
            </w:r>
          </w:p>
        </w:tc>
        <w:tc>
          <w:tcPr>
            <w:tcW w:type="dxa" w:w="1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8/10</w:t>
            </w:r>
          </w:p>
        </w:tc>
        <w:tc>
          <w:tcPr>
            <w:tcW w:type="dxa" w:w="38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Double vitrine + angle + parking</w:t>
            </w:r>
          </w:p>
        </w:tc>
      </w:tr>
      <w:tr>
        <w:tc>
          <w:tcPr>
            <w:tcW w:type="dxa" w:w="2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Flux piéton / voiture</w:t>
            </w:r>
          </w:p>
        </w:tc>
        <w:tc>
          <w:tcPr>
            <w:tcW w:type="dxa" w:w="10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8/10</w:t>
            </w:r>
          </w:p>
        </w:tc>
        <w:tc>
          <w:tcPr>
            <w:tcW w:type="dxa" w:w="10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5/10</w:t>
            </w:r>
          </w:p>
        </w:tc>
        <w:tc>
          <w:tcPr>
            <w:tcW w:type="dxa" w:w="10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8/10</w:t>
            </w:r>
          </w:p>
        </w:tc>
        <w:tc>
          <w:tcPr>
            <w:tcW w:type="dxa" w:w="38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5 enseignes dessert dans le quartier = flux démontré</w:t>
            </w:r>
          </w:p>
        </w:tc>
      </w:tr>
      <w:tr>
        <w:tc>
          <w:tcPr>
            <w:tcW w:type="dxa" w:w="2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Adéquation produit-marché</w:t>
            </w:r>
          </w:p>
        </w:tc>
        <w:tc>
          <w:tcPr>
            <w:tcW w:type="dxa" w:w="1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8/10</w:t>
            </w:r>
          </w:p>
        </w:tc>
        <w:tc>
          <w:tcPr>
            <w:tcW w:type="dxa" w:w="1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4/10</w:t>
            </w:r>
          </w:p>
        </w:tc>
        <w:tc>
          <w:tcPr>
            <w:tcW w:type="dxa" w:w="1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9/10</w:t>
            </w:r>
          </w:p>
        </w:tc>
        <w:tc>
          <w:tcPr>
            <w:tcW w:type="dxa" w:w="38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Marché validé, créneau premium vacant</w:t>
            </w:r>
          </w:p>
        </w:tc>
      </w:tr>
      <w:tr>
        <w:tc>
          <w:tcPr>
            <w:tcW w:type="dxa" w:w="2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Risque financier</w:t>
            </w:r>
          </w:p>
        </w:tc>
        <w:tc>
          <w:tcPr>
            <w:tcW w:type="dxa" w:w="10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Faible</w:t>
            </w:r>
          </w:p>
        </w:tc>
        <w:tc>
          <w:tcPr>
            <w:tcW w:type="dxa" w:w="10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Faible</w:t>
            </w:r>
          </w:p>
        </w:tc>
        <w:tc>
          <w:tcPr>
            <w:tcW w:type="dxa" w:w="10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Très faible</w:t>
            </w:r>
          </w:p>
        </w:tc>
        <w:tc>
          <w:tcPr>
            <w:tcW w:type="dxa" w:w="38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750€/mois = filet de sécurité absolu</w:t>
            </w:r>
          </w:p>
        </w:tc>
      </w:tr>
      <w:tr>
        <w:tc>
          <w:tcPr>
            <w:tcW w:type="dxa" w:w="2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Potentiel destination store</w:t>
            </w:r>
          </w:p>
        </w:tc>
        <w:tc>
          <w:tcPr>
            <w:tcW w:type="dxa" w:w="1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9/10</w:t>
            </w:r>
          </w:p>
        </w:tc>
        <w:tc>
          <w:tcPr>
            <w:tcW w:type="dxa" w:w="1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7/10</w:t>
            </w:r>
          </w:p>
        </w:tc>
        <w:tc>
          <w:tcPr>
            <w:tcW w:type="dxa" w:w="1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9/10</w:t>
            </w:r>
          </w:p>
        </w:tc>
        <w:tc>
          <w:tcPr>
            <w:tcW w:type="dxa" w:w="38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TikTok + first-mover premium</w:t>
            </w:r>
          </w:p>
        </w:tc>
      </w:tr>
    </w:tbl>
    <w:p>
      <w:r>
        <w:br w:type="page"/>
      </w:r>
    </w:p>
    <w:p>
      <w:pPr>
        <w:pStyle w:val="Heading1"/>
        <w:spacing w:before="360" w:after="160"/>
      </w:pPr>
      <w:r>
        <w:rPr>
          <w:rFonts w:ascii="Arial" w:cs="Arial" w:eastAsia="Arial" w:hAnsi="Arial"/>
          <w:b/>
          <w:bCs/>
          <w:color w:val="1A1714"/>
          <w:sz w:val="28"/>
          <w:szCs w:val="28"/>
        </w:rPr>
        <w:t xml:space="preserve">2. ANALYSE DU LOCAL : ATOUTS CONFIRMÉS</w:t>
      </w:r>
    </w:p>
    <w:p>
      <w:pPr>
        <w:pBdr>
          <w:bottom w:val="single" w:color="A8895C" w:sz="3" w:space="8"/>
        </w:pBdr>
        <w:spacing w:before="200" w:after="200"/>
      </w:pPr>
    </w:p>
    <w:p>
      <w:pPr>
        <w:spacing w:after="120" w:line="320"/>
        <w:jc w:val="both"/>
      </w:pPr>
      <w:r>
        <w:rPr>
          <w:rFonts w:ascii="Arial" w:cs="Arial" w:eastAsia="Arial" w:hAnsi="Arial"/>
          <w:b w:val="false"/>
          <w:bCs w:val="false"/>
          <w:i w:val="false"/>
          <w:iCs w:val="false"/>
          <w:color w:val="2C2824"/>
          <w:sz w:val="20"/>
          <w:szCs w:val="20"/>
        </w:rPr>
        <w:t xml:space="preserve">Le local est un ancien salon de coiffure situé en position d’angle sur la Route de la Gavotte. Il présente deux faces vitrées exploitables, un accès parking direct, et une visibilité naturelle depuis l’axe de transit.</w:t>
      </w:r>
    </w:p>
    <w:p>
      <w:pPr>
        <w:pStyle w:val="Heading2"/>
        <w:spacing w:before="280" w:after="120"/>
      </w:pPr>
      <w:r>
        <w:rPr>
          <w:rFonts w:ascii="Arial" w:cs="Arial" w:eastAsia="Arial" w:hAnsi="Arial"/>
          <w:b/>
          <w:bCs/>
          <w:color w:val="A8895C"/>
          <w:sz w:val="24"/>
          <w:szCs w:val="24"/>
        </w:rPr>
        <w:t xml:space="preserve">2.1 Fiche technique du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Élément</w:t>
            </w:r>
          </w:p>
        </w:tc>
        <w:tc>
          <w:tcPr>
            <w:tcW w:type="dxa" w:w="3526"/>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Constat</w:t>
            </w:r>
          </w:p>
        </w:tc>
        <w:tc>
          <w:tcPr>
            <w:tcW w:type="dxa" w:w="30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Évaluation</w:t>
            </w:r>
          </w:p>
        </w:tc>
      </w:tr>
      <w:tr>
        <w:tc>
          <w:tcPr>
            <w:tcW w:type="dxa" w:w="25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Façade principale</w:t>
            </w:r>
          </w:p>
        </w:tc>
        <w:tc>
          <w:tcPr>
            <w:tcW w:type="dxa" w:w="35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3-4m de large, porte vitrée + store banne</w:t>
            </w:r>
          </w:p>
        </w:tc>
        <w:tc>
          <w:tcPr>
            <w:tcW w:type="dxa" w:w="3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 Fonctionnelle</w:t>
            </w:r>
          </w:p>
        </w:tc>
      </w:tr>
      <w:tr>
        <w:tc>
          <w:tcPr>
            <w:tcW w:type="dxa" w:w="25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Vitre latérale</w:t>
            </w:r>
          </w:p>
        </w:tc>
        <w:tc>
          <w:tcPr>
            <w:tcW w:type="dxa" w:w="35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~1,5-2m², face au flux de circulation</w:t>
            </w:r>
          </w:p>
        </w:tc>
        <w:tc>
          <w:tcPr>
            <w:tcW w:type="dxa" w:w="30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 Vitrine d’exposition idéale</w:t>
            </w:r>
          </w:p>
        </w:tc>
      </w:tr>
      <w:tr>
        <w:tc>
          <w:tcPr>
            <w:tcW w:type="dxa" w:w="25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Position urbaine</w:t>
            </w:r>
          </w:p>
        </w:tc>
        <w:tc>
          <w:tcPr>
            <w:tcW w:type="dxa" w:w="35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Angle de rue, trottoir, proximité parking</w:t>
            </w:r>
          </w:p>
        </w:tc>
        <w:tc>
          <w:tcPr>
            <w:tcW w:type="dxa" w:w="3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 Visibilité bilatérale</w:t>
            </w:r>
          </w:p>
        </w:tc>
      </w:tr>
      <w:tr>
        <w:tc>
          <w:tcPr>
            <w:tcW w:type="dxa" w:w="25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Parking</w:t>
            </w:r>
          </w:p>
        </w:tc>
        <w:tc>
          <w:tcPr>
            <w:tcW w:type="dxa" w:w="35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Gratuit, attenant au local</w:t>
            </w:r>
          </w:p>
        </w:tc>
        <w:tc>
          <w:tcPr>
            <w:tcW w:type="dxa" w:w="30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 Atout majeur en pâtisserie</w:t>
            </w:r>
          </w:p>
        </w:tc>
      </w:tr>
      <w:tr>
        <w:tc>
          <w:tcPr>
            <w:tcW w:type="dxa" w:w="25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Loyer</w:t>
            </w:r>
          </w:p>
        </w:tc>
        <w:tc>
          <w:tcPr>
            <w:tcW w:type="dxa" w:w="35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750€/mois</w:t>
            </w:r>
          </w:p>
        </w:tc>
        <w:tc>
          <w:tcPr>
            <w:tcW w:type="dxa" w:w="3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 Barrière d’entrée exceptionnellement basse</w:t>
            </w:r>
          </w:p>
        </w:tc>
      </w:tr>
      <w:tr>
        <w:tc>
          <w:tcPr>
            <w:tcW w:type="dxa" w:w="25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État général</w:t>
            </w:r>
          </w:p>
        </w:tc>
        <w:tc>
          <w:tcPr>
            <w:tcW w:type="dxa" w:w="35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Crépi abimé, dévanture vieillissante</w:t>
            </w:r>
          </w:p>
        </w:tc>
        <w:tc>
          <w:tcPr>
            <w:tcW w:type="dxa" w:w="30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Travaux de ravalement à prévoir</w:t>
            </w:r>
          </w:p>
        </w:tc>
      </w:tr>
    </w:tbl>
    <w:p>
      <w:pPr>
        <w:spacing w:before="120" w:after="120"/>
      </w:pPr>
    </w:p>
    <w:p>
      <w:pPr>
        <w:pStyle w:val="Heading2"/>
        <w:spacing w:before="280" w:after="120"/>
      </w:pPr>
      <w:r>
        <w:rPr>
          <w:rFonts w:ascii="Arial" w:cs="Arial" w:eastAsia="Arial" w:hAnsi="Arial"/>
          <w:b/>
          <w:bCs/>
          <w:color w:val="A8895C"/>
          <w:sz w:val="24"/>
          <w:szCs w:val="24"/>
        </w:rPr>
        <w:t xml:space="preserve">2.2 Points de vigilance</w:t>
      </w:r>
    </w:p>
    <w:p>
      <w:pPr>
        <w:spacing w:after="120" w:line="320"/>
        <w:jc w:val="both"/>
      </w:pPr>
      <w:r>
        <w:rPr>
          <w:rFonts w:ascii="Arial" w:cs="Arial" w:eastAsia="Arial" w:hAnsi="Arial"/>
          <w:b w:val="false"/>
          <w:bCs w:val="false"/>
          <w:i w:val="false"/>
          <w:iCs w:val="false"/>
          <w:color w:val="2C2824"/>
          <w:sz w:val="20"/>
          <w:szCs w:val="20"/>
        </w:rPr>
        <w:t xml:space="preserve">Vérifier avant signature : périmètre du bail (RDC seul ou avec étage), autorisation façade noire (PLU + copropriété), débit électrique suffisant (triphasé recommandé), conformité alimentaire ERP.</w:t>
      </w:r>
    </w:p>
    <w:p>
      <w:r>
        <w:br w:type="page"/>
      </w:r>
    </w:p>
    <w:p>
      <w:pPr>
        <w:pStyle w:val="Heading1"/>
        <w:spacing w:before="360" w:after="160"/>
      </w:pPr>
      <w:r>
        <w:rPr>
          <w:rFonts w:ascii="Arial" w:cs="Arial" w:eastAsia="Arial" w:hAnsi="Arial"/>
          <w:b/>
          <w:bCs/>
          <w:color w:val="1A1714"/>
          <w:sz w:val="28"/>
          <w:szCs w:val="28"/>
        </w:rPr>
        <w:t xml:space="preserve">3. LE MARCHÉ PARLE : L’AVENUE DE SAINT-ANTOINE, CORRIDOR DESSERT VALIDÉ</w:t>
      </w:r>
    </w:p>
    <w:p>
      <w:pPr>
        <w:pBdr>
          <w:bottom w:val="single" w:color="A8895C" w:sz="3" w:space="8"/>
        </w:pBdr>
        <w:spacing w:before="200" w:after="200"/>
      </w:pPr>
    </w:p>
    <w:p>
      <w:pPr>
        <w:pBdr>
          <w:left w:val="single" w:color="A8895C" w:sz="8" w:space="12"/>
        </w:pBdr>
        <w:spacing w:before="200" w:after="200"/>
        <w:ind w:left="400" w:right="400"/>
      </w:pPr>
      <w:r>
        <w:rPr>
          <w:rFonts w:ascii="Arial" w:cs="Arial" w:eastAsia="Arial" w:hAnsi="Arial"/>
          <w:i/>
          <w:iCs/>
          <w:color w:val="1A1714"/>
          <w:sz w:val="20"/>
          <w:szCs w:val="20"/>
        </w:rPr>
        <w:t xml:space="preserve">Le dossier V2 affirmait qu’une pièce à 8€ dans le 15e était un « décalage majeur ». Les faits disent le contraire. Cinq enseignes dessert prospèrent dans le quartier, dont certaines avec des tickets moyens équivalents ou supérieurs.</w:t>
      </w:r>
    </w:p>
    <w:p>
      <w:pPr>
        <w:pStyle w:val="Heading2"/>
        <w:spacing w:before="280" w:after="120"/>
      </w:pPr>
      <w:r>
        <w:rPr>
          <w:rFonts w:ascii="Arial" w:cs="Arial" w:eastAsia="Arial" w:hAnsi="Arial"/>
          <w:b/>
          <w:bCs/>
          <w:color w:val="A8895C"/>
          <w:sz w:val="24"/>
          <w:szCs w:val="24"/>
        </w:rPr>
        <w:t xml:space="preserve">3.1 Le corridor dessert de l’Avenue de Saint-Antoine</w:t>
      </w:r>
    </w:p>
    <w:p>
      <w:pPr>
        <w:spacing w:after="120" w:line="320"/>
        <w:jc w:val="both"/>
      </w:pPr>
      <w:r>
        <w:rPr>
          <w:rFonts w:ascii="Arial" w:cs="Arial" w:eastAsia="Arial" w:hAnsi="Arial"/>
          <w:b w:val="false"/>
          <w:bCs w:val="false"/>
          <w:i w:val="false"/>
          <w:iCs w:val="false"/>
          <w:color w:val="2C2824"/>
          <w:sz w:val="20"/>
          <w:szCs w:val="20"/>
        </w:rPr>
        <w:t xml:space="preserve">En l’espace de 18 mois, l’Avenue de Saint-Antoine — l’artère commerciale principale du quartier, à proximité immédiate de la Route de la Gavotte — s’est transformée en véritable pôle de destination dessert. Voici la cartographie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1600"/>
        <w:gridCol w:w="2026"/>
      </w:tblGrid>
      <w:tr>
        <w:tc>
          <w:tcPr>
            <w:tcW w:type="dxa" w:w="16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Enseigne</w:t>
            </w:r>
          </w:p>
        </w:tc>
        <w:tc>
          <w:tcPr>
            <w:tcW w:type="dxa" w:w="16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Adresse</w:t>
            </w:r>
          </w:p>
        </w:tc>
        <w:tc>
          <w:tcPr>
            <w:tcW w:type="dxa" w:w="22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Concept</w:t>
            </w:r>
          </w:p>
        </w:tc>
        <w:tc>
          <w:tcPr>
            <w:tcW w:type="dxa" w:w="16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Horaires</w:t>
            </w:r>
          </w:p>
        </w:tc>
        <w:tc>
          <w:tcPr>
            <w:tcW w:type="dxa" w:w="2026"/>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Signal</w:t>
            </w:r>
          </w:p>
        </w:tc>
      </w:tr>
      <w:tr>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Love Dessert</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167 Av. St-Antoine</w:t>
            </w:r>
          </w:p>
        </w:tc>
        <w:tc>
          <w:tcPr>
            <w:tcW w:type="dxa" w:w="2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Pancakes, gaufres, cookies</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7j/7 — 15h-00h</w:t>
            </w:r>
          </w:p>
        </w:tc>
        <w:tc>
          <w:tcPr>
            <w:tcW w:type="dxa" w:w="20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4.7★ Google · Franchise · 3 sites</w:t>
            </w:r>
          </w:p>
        </w:tc>
      </w:tr>
      <w:tr>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Mac’Addict</w:t>
            </w:r>
          </w:p>
        </w:tc>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163 Av. St-Antoine</w:t>
            </w:r>
          </w:p>
        </w:tc>
        <w:tc>
          <w:tcPr>
            <w:tcW w:type="dxa" w:w="2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Tartelettes, brownies, choux</w:t>
            </w:r>
          </w:p>
        </w:tc>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7j/7 — 15h-00h</w:t>
            </w:r>
          </w:p>
        </w:tc>
        <w:tc>
          <w:tcPr>
            <w:tcW w:type="dxa" w:w="20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100% fait maison · 2 sites</w:t>
            </w:r>
          </w:p>
        </w:tc>
      </w:tr>
      <w:tr>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Dubai Sweet</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157 Av. St-Antoine</w:t>
            </w:r>
          </w:p>
        </w:tc>
        <w:tc>
          <w:tcPr>
            <w:tcW w:type="dxa" w:w="2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Chocolat Dubaï, desserts</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Ouvert sept. 2025</w:t>
            </w:r>
          </w:p>
        </w:tc>
        <w:tc>
          <w:tcPr>
            <w:tcW w:type="dxa" w:w="20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Buzz TikTok · Uber Eats</w:t>
            </w:r>
          </w:p>
        </w:tc>
      </w:tr>
      <w:tr>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Baking Bad</w:t>
            </w:r>
          </w:p>
        </w:tc>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152 Av. St-Antoine</w:t>
            </w:r>
          </w:p>
        </w:tc>
        <w:tc>
          <w:tcPr>
            <w:tcW w:type="dxa" w:w="2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Donuts, bakery</w:t>
            </w:r>
          </w:p>
        </w:tc>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Actif</w:t>
            </w:r>
          </w:p>
        </w:tc>
        <w:tc>
          <w:tcPr>
            <w:tcW w:type="dxa" w:w="20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Nouveau concept</w:t>
            </w:r>
          </w:p>
        </w:tc>
      </w:tr>
      <w:tr>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Le Spécial + Be Brownie</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212 Av. St-Antoine</w:t>
            </w:r>
          </w:p>
        </w:tc>
        <w:tc>
          <w:tcPr>
            <w:tcW w:type="dxa" w:w="2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Food court + brownies/donuts</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7j/7</w:t>
            </w:r>
          </w:p>
        </w:tc>
        <w:tc>
          <w:tcPr>
            <w:tcW w:type="dxa" w:w="20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5.0★ Tripadvisor</w:t>
            </w:r>
          </w:p>
        </w:tc>
      </w:tr>
    </w:tbl>
    <w:p>
      <w:pPr>
        <w:spacing w:before="120" w:after="120"/>
      </w:pPr>
    </w:p>
    <w:p>
      <w:pPr>
        <w:pStyle w:val="Heading2"/>
        <w:spacing w:before="280" w:after="120"/>
      </w:pPr>
      <w:r>
        <w:rPr>
          <w:rFonts w:ascii="Arial" w:cs="Arial" w:eastAsia="Arial" w:hAnsi="Arial"/>
          <w:b/>
          <w:bCs/>
          <w:color w:val="A8895C"/>
          <w:sz w:val="24"/>
          <w:szCs w:val="24"/>
        </w:rPr>
        <w:t xml:space="preserve">3.2 Ce que ces chiffres prouvent</w:t>
      </w:r>
    </w:p>
    <w:p>
      <w:pPr>
        <w:spacing w:after="120" w:line="320"/>
        <w:jc w:val="both"/>
      </w:pPr>
      <w:r>
        <w:rPr>
          <w:rFonts w:ascii="Arial" w:cs="Arial" w:eastAsia="Arial" w:hAnsi="Arial"/>
          <w:b w:val="false"/>
          <w:bCs w:val="false"/>
          <w:i w:val="false"/>
          <w:iCs w:val="false"/>
          <w:color w:val="2C2824"/>
          <w:sz w:val="20"/>
          <w:szCs w:val="20"/>
        </w:rPr>
        <w:t xml:space="preserve">Premièrement : le pouvoir d’achat dessert dans le quartier Saint-Antoine est réel et mesurable. Love Dessert propose des box à 50€ (6-8 personnes) et tourne 7j/7 jusqu’à minuit. Mac’Addict a ouvert un deuxième point de vente. Dubai Sweet s’est installé en septembre 2025 — preuve que le marché attire encore de nouveaux entrants. Même Le Spécial, un restaurant, a ajouté un espace dessert dédié avec Be Brownie : quand un snack investit dans un corner pâtisserie, c’est que la demande est là.</w:t>
      </w:r>
    </w:p>
    <w:p>
      <w:pPr>
        <w:spacing w:after="120" w:line="320"/>
        <w:jc w:val="both"/>
      </w:pPr>
      <w:r>
        <w:rPr>
          <w:rFonts w:ascii="Arial" w:cs="Arial" w:eastAsia="Arial" w:hAnsi="Arial"/>
          <w:b w:val="false"/>
          <w:bCs w:val="false"/>
          <w:i w:val="false"/>
          <w:iCs w:val="false"/>
          <w:color w:val="2C2824"/>
          <w:sz w:val="20"/>
          <w:szCs w:val="20"/>
        </w:rPr>
        <w:t xml:space="preserve">Deuxièmement : le modèle de destination fonctionne. Ces enseignes ne vivent pas du flux piéton local — elles attirent via TikTok, Instagram et le bouche-à-oreille. Les gens se déplacent spécifiquement pour y aller, exactement comme pour Tema’s Cake à Aulnay-sous-Bois. Le local de la Route de la Gavotte est situé dans le même bassin de chalandise : les clients qui viennent pour Love Dessert ou Dubai Sweet passent devant ou à côté.</w:t>
      </w:r>
    </w:p>
    <w:p>
      <w:pPr>
        <w:spacing w:after="120" w:line="320"/>
        <w:jc w:val="both"/>
      </w:pPr>
      <w:r>
        <w:rPr>
          <w:rFonts w:ascii="Arial" w:cs="Arial" w:eastAsia="Arial" w:hAnsi="Arial"/>
          <w:b w:val="false"/>
          <w:bCs w:val="false"/>
          <w:i w:val="false"/>
          <w:iCs w:val="false"/>
          <w:color w:val="2C2824"/>
          <w:sz w:val="20"/>
          <w:szCs w:val="20"/>
        </w:rPr>
        <w:t xml:space="preserve">Troisièmement : le créneau premium est totalement vacant. Toutes ces enseignes jouent sur le même registre : desserts fun, colorés, accessibles. Aucune ne propose de haute pâtisserie, de trompe-l’œil, de l’émotion du luxe. Le segment premium n’est pas occupé dans tout le quartier — il attend Maison Mirage.</w:t>
      </w:r>
    </w:p>
    <w:p>
      <w:pPr>
        <w:pStyle w:val="Heading2"/>
        <w:spacing w:before="280" w:after="120"/>
      </w:pPr>
      <w:r>
        <w:rPr>
          <w:rFonts w:ascii="Arial" w:cs="Arial" w:eastAsia="Arial" w:hAnsi="Arial"/>
          <w:b/>
          <w:bCs/>
          <w:color w:val="A8895C"/>
          <w:sz w:val="24"/>
          <w:szCs w:val="24"/>
        </w:rPr>
        <w:t xml:space="preserve">3.3 L’erreur du dossier V2 : confondre revenu médian et pouvoir d’achat dessert</w:t>
      </w:r>
    </w:p>
    <w:p>
      <w:pPr>
        <w:spacing w:after="120" w:line="320"/>
        <w:jc w:val="both"/>
      </w:pPr>
      <w:r>
        <w:rPr>
          <w:rFonts w:ascii="Arial" w:cs="Arial" w:eastAsia="Arial" w:hAnsi="Arial"/>
          <w:b w:val="false"/>
          <w:bCs w:val="false"/>
          <w:i w:val="false"/>
          <w:iCs w:val="false"/>
          <w:color w:val="2C2824"/>
          <w:sz w:val="20"/>
          <w:szCs w:val="20"/>
        </w:rPr>
        <w:t xml:space="preserve">Le dossier V2 s’appuyait sur les données INSEE du revenu médian pour conclure que le marché n’existait pas. Cette analyse est théorique et contredite par les faits sur le terrain. Le marché du dessert obéit à des logiques différentes du revenu médian : l’achat plaisir, l’événementiel familial, le cadeau, l’expérience Instagram. Quand Love Dessert vend des box à 50€ dans le 15e et ouvre 7j/7 jusqu’à minuit, c’est la preuve par le chiffre d’affaires que le pouvoir d’achat dessert existe ici.</w:t>
      </w:r>
    </w:p>
    <w:p>
      <w:pPr>
        <w:spacing w:after="120" w:line="320"/>
        <w:jc w:val="both"/>
      </w:pPr>
      <w:r>
        <w:rPr>
          <w:rFonts w:ascii="Arial" w:cs="Arial" w:eastAsia="Arial" w:hAnsi="Arial"/>
          <w:b w:val="false"/>
          <w:bCs w:val="false"/>
          <w:i w:val="false"/>
          <w:iCs w:val="false"/>
          <w:color w:val="2C2824"/>
          <w:sz w:val="20"/>
          <w:szCs w:val="20"/>
        </w:rPr>
        <w:t xml:space="preserve">De plus, le bassin de chalandise ne se limite pas au quartier immédiat. L’axe Saint-Antoine / Route de la Gavotte draine un flux de transit quotidien vers l’A7, Septèmes, les Pennes-Mirabeau et les quartiers nord. Le vrai bassin, c’est 200 000+ habitants dans un rayon de 15 minutes en voiture — avec un parking gratuit à l’arrivée.</w:t>
      </w:r>
    </w:p>
    <w:p>
      <w:r>
        <w:br w:type="page"/>
      </w:r>
    </w:p>
    <w:p>
      <w:pPr>
        <w:pStyle w:val="Heading1"/>
        <w:spacing w:before="360" w:after="160"/>
      </w:pPr>
      <w:r>
        <w:rPr>
          <w:rFonts w:ascii="Arial" w:cs="Arial" w:eastAsia="Arial" w:hAnsi="Arial"/>
          <w:b/>
          <w:bCs/>
          <w:color w:val="1A1714"/>
          <w:sz w:val="28"/>
          <w:szCs w:val="28"/>
        </w:rPr>
        <w:t xml:space="preserve">4. BENCHMARK CONCURRENTIEL : 5 ENSEIGNES, ZÉRO TROMPE-L’ŒIL</w:t>
      </w:r>
    </w:p>
    <w:p>
      <w:pPr>
        <w:pBdr>
          <w:bottom w:val="single" w:color="A8895C" w:sz="3" w:space="8"/>
        </w:pBdr>
        <w:spacing w:before="200" w:after="200"/>
      </w:pPr>
    </w:p>
    <w:p>
      <w:pPr>
        <w:pStyle w:val="Heading2"/>
        <w:spacing w:before="280" w:after="120"/>
      </w:pPr>
      <w:r>
        <w:rPr>
          <w:rFonts w:ascii="Arial" w:cs="Arial" w:eastAsia="Arial" w:hAnsi="Arial"/>
          <w:b/>
          <w:bCs/>
          <w:color w:val="A8895C"/>
          <w:sz w:val="24"/>
          <w:szCs w:val="24"/>
        </w:rPr>
        <w:t xml:space="preserve">4.1 Positionnement comparé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Critère</w:t>
            </w:r>
          </w:p>
        </w:tc>
        <w:tc>
          <w:tcPr>
            <w:tcW w:type="dxa" w:w="18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Love Dessert</w:t>
            </w:r>
          </w:p>
        </w:tc>
        <w:tc>
          <w:tcPr>
            <w:tcW w:type="dxa" w:w="18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Mac’Addict</w:t>
            </w:r>
          </w:p>
        </w:tc>
        <w:tc>
          <w:tcPr>
            <w:tcW w:type="dxa" w:w="18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Dubai Sweet</w:t>
            </w:r>
          </w:p>
        </w:tc>
        <w:tc>
          <w:tcPr>
            <w:tcW w:type="dxa" w:w="1826"/>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Maison Mirage</w:t>
            </w:r>
          </w:p>
        </w:tc>
      </w:tr>
      <w:tr>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Positionnement</w:t>
            </w:r>
          </w:p>
        </w:tc>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Fun, familial</w:t>
            </w:r>
          </w:p>
        </w:tc>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Artisanal, jeune</w:t>
            </w:r>
          </w:p>
        </w:tc>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Buzz Dubaï</w:t>
            </w:r>
          </w:p>
        </w:tc>
        <w:tc>
          <w:tcPr>
            <w:tcW w:type="dxa" w:w="18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LUXE, émotion, art</w:t>
            </w:r>
          </w:p>
        </w:tc>
      </w:tr>
      <w:tr>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Prix moyen</w:t>
            </w:r>
          </w:p>
        </w:tc>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6-8€</w:t>
            </w:r>
          </w:p>
        </w:tc>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2-6€</w:t>
            </w:r>
          </w:p>
        </w:tc>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8-15€</w:t>
            </w:r>
          </w:p>
        </w:tc>
        <w:tc>
          <w:tcPr>
            <w:tcW w:type="dxa" w:w="18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8€ (pièce)</w:t>
            </w:r>
          </w:p>
        </w:tc>
      </w:tr>
      <w:tr>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Produit signature</w:t>
            </w:r>
          </w:p>
        </w:tc>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Pancakes/gaufres</w:t>
            </w:r>
          </w:p>
        </w:tc>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Tartelettes cookies</w:t>
            </w:r>
          </w:p>
        </w:tc>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Chocolat Dubaï</w:t>
            </w:r>
          </w:p>
        </w:tc>
        <w:tc>
          <w:tcPr>
            <w:tcW w:type="dxa" w:w="18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Trompe-l’œil</w:t>
            </w:r>
          </w:p>
        </w:tc>
      </w:tr>
      <w:tr>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Différenciation</w:t>
            </w:r>
          </w:p>
        </w:tc>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Choix + box</w:t>
            </w:r>
          </w:p>
        </w:tc>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Fait maison</w:t>
            </w:r>
          </w:p>
        </w:tc>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Exotisme</w:t>
            </w:r>
          </w:p>
        </w:tc>
        <w:tc>
          <w:tcPr>
            <w:tcW w:type="dxa" w:w="18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ART + SURPRISE</w:t>
            </w:r>
          </w:p>
        </w:tc>
      </w:tr>
      <w:tr>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Effet Instagram</w:t>
            </w:r>
          </w:p>
        </w:tc>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Moyen</w:t>
            </w:r>
          </w:p>
        </w:tc>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Faible</w:t>
            </w:r>
          </w:p>
        </w:tc>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Élevé</w:t>
            </w:r>
          </w:p>
        </w:tc>
        <w:tc>
          <w:tcPr>
            <w:tcW w:type="dxa" w:w="18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VIRAL (trompe-l’œil)</w:t>
            </w:r>
          </w:p>
        </w:tc>
      </w:tr>
      <w:tr>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Trompe-l’œil</w:t>
            </w:r>
          </w:p>
        </w:tc>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Non</w:t>
            </w:r>
          </w:p>
        </w:tc>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Non</w:t>
            </w:r>
          </w:p>
        </w:tc>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Non</w:t>
            </w:r>
          </w:p>
        </w:tc>
        <w:tc>
          <w:tcPr>
            <w:tcW w:type="dxa" w:w="18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OUI — Exclusif</w:t>
            </w:r>
          </w:p>
        </w:tc>
      </w:tr>
      <w:tr>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Haute pâtisserie</w:t>
            </w:r>
          </w:p>
        </w:tc>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Non</w:t>
            </w:r>
          </w:p>
        </w:tc>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Non</w:t>
            </w:r>
          </w:p>
        </w:tc>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Non</w:t>
            </w:r>
          </w:p>
        </w:tc>
        <w:tc>
          <w:tcPr>
            <w:tcW w:type="dxa" w:w="18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OUI</w:t>
            </w:r>
          </w:p>
        </w:tc>
      </w:tr>
      <w:tr>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Segment occupé</w:t>
            </w:r>
          </w:p>
        </w:tc>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Mass market</w:t>
            </w:r>
          </w:p>
        </w:tc>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Mass market</w:t>
            </w:r>
          </w:p>
        </w:tc>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Tendance</w:t>
            </w:r>
          </w:p>
        </w:tc>
        <w:tc>
          <w:tcPr>
            <w:tcW w:type="dxa" w:w="18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PREMIUM VACANT</w:t>
            </w:r>
          </w:p>
        </w:tc>
      </w:tr>
    </w:tbl>
    <w:p>
      <w:pPr>
        <w:spacing w:before="120" w:after="120"/>
      </w:pPr>
    </w:p>
    <w:p>
      <w:pPr>
        <w:pStyle w:val="Heading2"/>
        <w:spacing w:before="280" w:after="120"/>
      </w:pPr>
      <w:r>
        <w:rPr>
          <w:rFonts w:ascii="Arial" w:cs="Arial" w:eastAsia="Arial" w:hAnsi="Arial"/>
          <w:b/>
          <w:bCs/>
          <w:color w:val="A8895C"/>
          <w:sz w:val="24"/>
          <w:szCs w:val="24"/>
        </w:rPr>
        <w:t xml:space="preserve">4.2 La leçon Tema’s Cake</w:t>
      </w:r>
    </w:p>
    <w:p>
      <w:pPr>
        <w:spacing w:after="120" w:line="320"/>
        <w:jc w:val="both"/>
      </w:pPr>
      <w:r>
        <w:rPr>
          <w:rFonts w:ascii="Arial" w:cs="Arial" w:eastAsia="Arial" w:hAnsi="Arial"/>
          <w:b w:val="false"/>
          <w:bCs w:val="false"/>
          <w:i w:val="false"/>
          <w:iCs w:val="false"/>
          <w:color w:val="2C2824"/>
          <w:sz w:val="20"/>
          <w:szCs w:val="20"/>
        </w:rPr>
        <w:t xml:space="preserve">Tema’s Cake a prouvé qu’un concept trompe-l’œil peut exploser depuis un quartier populaire. Fatima Aouad a démarré chez elle à Bondy, s’est installée à Aulnay-sous-Bois (pas exactement le 8e arrondissement de Paris), et a atteint Créteil Soleil, La Défense et Dubaï grâce au buzz TikTok. Les gens font 45 minutes de route pour acheter chez elle. Ce n’est pas l’emplacement qui crée le trafic — c’est la marque et l’effet wow.</w:t>
      </w:r>
    </w:p>
    <w:p>
      <w:pPr>
        <w:spacing w:after="120" w:line="320"/>
        <w:jc w:val="both"/>
      </w:pPr>
      <w:r>
        <w:rPr>
          <w:rFonts w:ascii="Arial" w:cs="Arial" w:eastAsia="Arial" w:hAnsi="Arial"/>
          <w:b w:val="false"/>
          <w:bCs w:val="false"/>
          <w:i w:val="false"/>
          <w:iCs w:val="false"/>
          <w:color w:val="2C2824"/>
          <w:sz w:val="20"/>
          <w:szCs w:val="20"/>
        </w:rPr>
        <w:t xml:space="preserve">Maison Mirage a le même ADN viral (trompe-l’œil = contenu natif pour les réseaux) et un avantage supplémentaire : elle s’implante dans un quartier déjà validé par 5 enseignes dessert. Tema’s a dû créer le flux à partir de zéro. Maison Mirage peut capter le flux existant du pôle Saint-Antoine ET l’amplifier avec son positionnement unique.</w:t>
      </w:r>
    </w:p>
    <w:p>
      <w:pPr>
        <w:spacing w:before="160" w:after="160"/>
        <w:jc w:val="center"/>
      </w:pPr>
      <w:r>
        <w:rPr>
          <w:rFonts w:ascii="Georgia" w:cs="Georgia" w:eastAsia="Georgia" w:hAnsi="Georgia"/>
          <w:i/>
          <w:iCs/>
          <w:color w:val="A8895C"/>
          <w:sz w:val="24"/>
          <w:szCs w:val="24"/>
        </w:rPr>
        <w:t xml:space="preserve">« Là où Tema’s a créé le marché, Maison Mirage l’élève. »</w:t>
      </w:r>
    </w:p>
    <w:p>
      <w:r>
        <w:br w:type="page"/>
      </w:r>
    </w:p>
    <w:p>
      <w:pPr>
        <w:pStyle w:val="Heading1"/>
        <w:spacing w:before="360" w:after="160"/>
      </w:pPr>
      <w:r>
        <w:rPr>
          <w:rFonts w:ascii="Arial" w:cs="Arial" w:eastAsia="Arial" w:hAnsi="Arial"/>
          <w:b/>
          <w:bCs/>
          <w:color w:val="1A1714"/>
          <w:sz w:val="28"/>
          <w:szCs w:val="28"/>
        </w:rPr>
        <w:t xml:space="preserve">5. L’AVANTAGE MAISON MIRAGE : LE SEUL POSITIONNEMENT PREMIUM</w:t>
      </w:r>
    </w:p>
    <w:p>
      <w:pPr>
        <w:pBdr>
          <w:bottom w:val="single" w:color="A8895C" w:sz="3" w:space="8"/>
        </w:pBdr>
        <w:spacing w:before="200" w:after="200"/>
      </w:pPr>
    </w:p>
    <w:p>
      <w:pPr>
        <w:spacing w:after="120" w:line="320"/>
        <w:jc w:val="both"/>
      </w:pPr>
      <w:r>
        <w:rPr>
          <w:rFonts w:ascii="Arial" w:cs="Arial" w:eastAsia="Arial" w:hAnsi="Arial"/>
          <w:b w:val="false"/>
          <w:bCs w:val="false"/>
          <w:i w:val="false"/>
          <w:iCs w:val="false"/>
          <w:color w:val="2C2824"/>
          <w:sz w:val="20"/>
          <w:szCs w:val="20"/>
        </w:rPr>
        <w:t xml:space="preserve">Maison Mirage n’entre pas sur un marché saturé — elle ouvre un segment qui n’existe pas encore sur cette avenue. C’est la différence entre concurrencer et dominer.</w:t>
      </w:r>
    </w:p>
    <w:p>
      <w:pPr>
        <w:pStyle w:val="Heading2"/>
        <w:spacing w:before="280" w:after="120"/>
      </w:pPr>
      <w:r>
        <w:rPr>
          <w:rFonts w:ascii="Arial" w:cs="Arial" w:eastAsia="Arial" w:hAnsi="Arial"/>
          <w:b/>
          <w:bCs/>
          <w:color w:val="A8895C"/>
          <w:sz w:val="24"/>
          <w:szCs w:val="24"/>
        </w:rPr>
        <w:t xml:space="preserve">5.1 Les 5 avantages concurrentiels inégalés</w:t>
      </w:r>
    </w:p>
    <w:p>
      <w:pPr>
        <w:spacing w:after="60"/>
      </w:pPr>
      <w:r>
        <w:rPr>
          <w:rFonts w:ascii="Arial" w:cs="Arial" w:eastAsia="Arial" w:hAnsi="Arial"/>
          <w:b/>
          <w:bCs/>
          <w:color w:val="A8895C"/>
          <w:sz w:val="22"/>
          <w:szCs w:val="22"/>
        </w:rPr>
        <w:t xml:space="preserve">1.  </w:t>
      </w:r>
      <w:r>
        <w:rPr>
          <w:rFonts w:ascii="Arial" w:cs="Arial" w:eastAsia="Arial" w:hAnsi="Arial"/>
          <w:color w:val="2C2824"/>
          <w:sz w:val="20"/>
          <w:szCs w:val="20"/>
        </w:rPr>
        <w:t xml:space="preserve">Trompe-l’œil exclusif</w:t>
      </w:r>
    </w:p>
    <w:p>
      <w:pPr>
        <w:spacing w:after="120" w:line="320"/>
        <w:jc w:val="both"/>
      </w:pPr>
      <w:r>
        <w:rPr>
          <w:rFonts w:ascii="Arial" w:cs="Arial" w:eastAsia="Arial" w:hAnsi="Arial"/>
          <w:b w:val="false"/>
          <w:bCs w:val="false"/>
          <w:i w:val="false"/>
          <w:iCs w:val="false"/>
          <w:color w:val="2C2824"/>
          <w:sz w:val="20"/>
          <w:szCs w:val="20"/>
        </w:rPr>
        <w:t xml:space="preserve">Aucun concurrent sur l’avenue ne fait du trompe-l’œil. C’est un produit-spectacle qui génère du contenu viral de manière organique. Chaque pièce vendue est une publicité gratuite sur Instagram et TikTok.</w:t>
      </w:r>
    </w:p>
    <w:p>
      <w:pPr>
        <w:spacing w:after="60"/>
      </w:pPr>
      <w:r>
        <w:rPr>
          <w:rFonts w:ascii="Arial" w:cs="Arial" w:eastAsia="Arial" w:hAnsi="Arial"/>
          <w:b/>
          <w:bCs/>
          <w:color w:val="A8895C"/>
          <w:sz w:val="22"/>
          <w:szCs w:val="22"/>
        </w:rPr>
        <w:t xml:space="preserve">2.  </w:t>
      </w:r>
      <w:r>
        <w:rPr>
          <w:rFonts w:ascii="Arial" w:cs="Arial" w:eastAsia="Arial" w:hAnsi="Arial"/>
          <w:color w:val="2C2824"/>
          <w:sz w:val="20"/>
          <w:szCs w:val="20"/>
        </w:rPr>
        <w:t xml:space="preserve">Haute pâtisserie artisanale</w:t>
      </w:r>
    </w:p>
    <w:p>
      <w:pPr>
        <w:spacing w:after="120" w:line="320"/>
        <w:jc w:val="both"/>
      </w:pPr>
      <w:r>
        <w:rPr>
          <w:rFonts w:ascii="Arial" w:cs="Arial" w:eastAsia="Arial" w:hAnsi="Arial"/>
          <w:b w:val="false"/>
          <w:bCs w:val="false"/>
          <w:i w:val="false"/>
          <w:iCs w:val="false"/>
          <w:color w:val="2C2824"/>
          <w:sz w:val="20"/>
          <w:szCs w:val="20"/>
        </w:rPr>
        <w:t xml:space="preserve">100% fait maison, zéro surgelé, qualité gustative irréprochable. Dans un environnement où les concurrents servent des pancakes et des donuts, Maison Mirage propose de l’art comestible.</w:t>
      </w:r>
    </w:p>
    <w:p>
      <w:pPr>
        <w:spacing w:after="60"/>
      </w:pPr>
      <w:r>
        <w:rPr>
          <w:rFonts w:ascii="Arial" w:cs="Arial" w:eastAsia="Arial" w:hAnsi="Arial"/>
          <w:b/>
          <w:bCs/>
          <w:color w:val="A8895C"/>
          <w:sz w:val="22"/>
          <w:szCs w:val="22"/>
        </w:rPr>
        <w:t xml:space="preserve">3.  </w:t>
      </w:r>
      <w:r>
        <w:rPr>
          <w:rFonts w:ascii="Arial" w:cs="Arial" w:eastAsia="Arial" w:hAnsi="Arial"/>
          <w:color w:val="2C2824"/>
          <w:sz w:val="20"/>
          <w:szCs w:val="20"/>
        </w:rPr>
        <w:t xml:space="preserve">Positionnement prix justifié</w:t>
      </w:r>
    </w:p>
    <w:p>
      <w:pPr>
        <w:spacing w:after="120" w:line="320"/>
        <w:jc w:val="both"/>
      </w:pPr>
      <w:r>
        <w:rPr>
          <w:rFonts w:ascii="Arial" w:cs="Arial" w:eastAsia="Arial" w:hAnsi="Arial"/>
          <w:b w:val="false"/>
          <w:bCs w:val="false"/>
          <w:i w:val="false"/>
          <w:iCs w:val="false"/>
          <w:color w:val="2C2824"/>
          <w:sz w:val="20"/>
          <w:szCs w:val="20"/>
        </w:rPr>
        <w:t xml:space="preserve">À 8€ la pièce, Maison Mirage est dans la même fourchette que Dubai Sweet et les box Love Dessert. Le prix n’est PAS un frein — il est aligné avec ce que le marché accepte déjà sur cette avenue, mais avec une proposition de valeur infiniment supérieure.</w:t>
      </w:r>
    </w:p>
    <w:p>
      <w:pPr>
        <w:spacing w:after="60"/>
      </w:pPr>
      <w:r>
        <w:rPr>
          <w:rFonts w:ascii="Arial" w:cs="Arial" w:eastAsia="Arial" w:hAnsi="Arial"/>
          <w:b/>
          <w:bCs/>
          <w:color w:val="A8895C"/>
          <w:sz w:val="22"/>
          <w:szCs w:val="22"/>
        </w:rPr>
        <w:t xml:space="preserve">4.  </w:t>
      </w:r>
      <w:r>
        <w:rPr>
          <w:rFonts w:ascii="Arial" w:cs="Arial" w:eastAsia="Arial" w:hAnsi="Arial"/>
          <w:color w:val="2C2824"/>
          <w:sz w:val="20"/>
          <w:szCs w:val="20"/>
        </w:rPr>
        <w:t xml:space="preserve">Double canal B2C + B2B</w:t>
      </w:r>
    </w:p>
    <w:p>
      <w:pPr>
        <w:spacing w:after="120" w:line="320"/>
        <w:jc w:val="both"/>
      </w:pPr>
      <w:r>
        <w:rPr>
          <w:rFonts w:ascii="Arial" w:cs="Arial" w:eastAsia="Arial" w:hAnsi="Arial"/>
          <w:b w:val="false"/>
          <w:bCs w:val="false"/>
          <w:i w:val="false"/>
          <w:iCs w:val="false"/>
          <w:color w:val="2C2824"/>
          <w:sz w:val="20"/>
          <w:szCs w:val="20"/>
        </w:rPr>
        <w:t xml:space="preserve">Contrairement aux enseignes de l’Avenue de Saint-Antoine (100% B2C), Maison Mirage dispose d’un canal B2B éprouvé : restaurateurs, hôtels, traiteurs. Ce double moteur assure un plancher de revenus indépendant du trafic boutique. Le B2B représente déjà un flux de commandes régulier.</w:t>
      </w:r>
    </w:p>
    <w:p>
      <w:pPr>
        <w:spacing w:after="60"/>
      </w:pPr>
      <w:r>
        <w:rPr>
          <w:rFonts w:ascii="Arial" w:cs="Arial" w:eastAsia="Arial" w:hAnsi="Arial"/>
          <w:b/>
          <w:bCs/>
          <w:color w:val="A8895C"/>
          <w:sz w:val="22"/>
          <w:szCs w:val="22"/>
        </w:rPr>
        <w:t xml:space="preserve">5.  </w:t>
      </w:r>
      <w:r>
        <w:rPr>
          <w:rFonts w:ascii="Arial" w:cs="Arial" w:eastAsia="Arial" w:hAnsi="Arial"/>
          <w:color w:val="2C2824"/>
          <w:sz w:val="20"/>
          <w:szCs w:val="20"/>
        </w:rPr>
        <w:t xml:space="preserve">Marque déjà construite</w:t>
      </w:r>
    </w:p>
    <w:p>
      <w:pPr>
        <w:spacing w:after="120" w:line="320"/>
        <w:jc w:val="both"/>
      </w:pPr>
      <w:r>
        <w:rPr>
          <w:rFonts w:ascii="Arial" w:cs="Arial" w:eastAsia="Arial" w:hAnsi="Arial"/>
          <w:b w:val="false"/>
          <w:bCs w:val="false"/>
          <w:i w:val="false"/>
          <w:iCs w:val="false"/>
          <w:color w:val="2C2824"/>
          <w:sz w:val="20"/>
          <w:szCs w:val="20"/>
        </w:rPr>
        <w:t xml:space="preserve">Maison Mirage n’est pas un lancement from scratch. La marque existe, le site est en ligne, le portfolio produit est constitué, les premiers partenaires B2B affichent 100% de taux de renouvellement et +35% de ticket dessert. C’est une marque qui s’implante, pas une idée qui démarre.</w:t>
      </w:r>
    </w:p>
    <w:p>
      <w:r>
        <w:br w:type="page"/>
      </w:r>
    </w:p>
    <w:p>
      <w:pPr>
        <w:pStyle w:val="Heading1"/>
        <w:spacing w:before="360" w:after="160"/>
      </w:pPr>
      <w:r>
        <w:rPr>
          <w:rFonts w:ascii="Arial" w:cs="Arial" w:eastAsia="Arial" w:hAnsi="Arial"/>
          <w:b/>
          <w:bCs/>
          <w:color w:val="1A1714"/>
          <w:sz w:val="28"/>
          <w:szCs w:val="28"/>
        </w:rPr>
        <w:t xml:space="preserve">6. VIABILITÉ ÉCONOMIQUE : BREAK-EVEN RÉALISTE ET ATTEIGNABLE</w:t>
      </w:r>
    </w:p>
    <w:p>
      <w:pPr>
        <w:pBdr>
          <w:bottom w:val="single" w:color="A8895C" w:sz="3" w:space="8"/>
        </w:pBdr>
        <w:spacing w:before="200" w:after="200"/>
      </w:pPr>
    </w:p>
    <w:p>
      <w:pPr>
        <w:pStyle w:val="Heading2"/>
        <w:spacing w:before="280" w:after="120"/>
      </w:pPr>
      <w:r>
        <w:rPr>
          <w:rFonts w:ascii="Arial" w:cs="Arial" w:eastAsia="Arial" w:hAnsi="Arial"/>
          <w:b/>
          <w:bCs/>
          <w:color w:val="A8895C"/>
          <w:sz w:val="24"/>
          <w:szCs w:val="24"/>
        </w:rPr>
        <w:t xml:space="preserve">6.1 Structure de coûts mensuelle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026"/>
      </w:tblGrid>
      <w:tr>
        <w:tc>
          <w:tcPr>
            <w:tcW w:type="dxa" w:w="28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Poste</w:t>
            </w:r>
          </w:p>
        </w:tc>
        <w:tc>
          <w:tcPr>
            <w:tcW w:type="dxa" w:w="16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Coût mensuel</w:t>
            </w:r>
          </w:p>
        </w:tc>
        <w:tc>
          <w:tcPr>
            <w:tcW w:type="dxa" w:w="16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Coût/jour (26j)</w:t>
            </w:r>
          </w:p>
        </w:tc>
        <w:tc>
          <w:tcPr>
            <w:tcW w:type="dxa" w:w="3026"/>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Notes</w:t>
            </w:r>
          </w:p>
        </w:tc>
      </w:tr>
      <w:tr>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Loyer</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750 €</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29 €</w:t>
            </w:r>
          </w:p>
        </w:tc>
        <w:tc>
          <w:tcPr>
            <w:tcW w:type="dxa" w:w="30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Barrière d’entrée basse</w:t>
            </w:r>
          </w:p>
        </w:tc>
      </w:tr>
      <w:tr>
        <w:tc>
          <w:tcPr>
            <w:tcW w:type="dxa" w:w="2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Charges (EDF, eau, internet)</w:t>
            </w:r>
          </w:p>
        </w:tc>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250 €</w:t>
            </w:r>
          </w:p>
        </w:tc>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10 €</w:t>
            </w:r>
          </w:p>
        </w:tc>
        <w:tc>
          <w:tcPr>
            <w:tcW w:type="dxa" w:w="30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
            </w:r>
          </w:p>
        </w:tc>
      </w:tr>
      <w:tr>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Vitrine réfrigérée (conso)</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80 €</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3 €</w:t>
            </w:r>
          </w:p>
        </w:tc>
        <w:tc>
          <w:tcPr>
            <w:tcW w:type="dxa" w:w="30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
            </w:r>
          </w:p>
        </w:tc>
      </w:tr>
      <w:tr>
        <w:tc>
          <w:tcPr>
            <w:tcW w:type="dxa" w:w="2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Assurance local</w:t>
            </w:r>
          </w:p>
        </w:tc>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100 €</w:t>
            </w:r>
          </w:p>
        </w:tc>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4 €</w:t>
            </w:r>
          </w:p>
        </w:tc>
        <w:tc>
          <w:tcPr>
            <w:tcW w:type="dxa" w:w="30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
            </w:r>
          </w:p>
        </w:tc>
      </w:tr>
      <w:tr>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Matières premières</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780 €</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30 €</w:t>
            </w:r>
          </w:p>
        </w:tc>
        <w:tc>
          <w:tcPr>
            <w:tcW w:type="dxa" w:w="30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1,50€/pc × 20 pcs/jour</w:t>
            </w:r>
          </w:p>
        </w:tc>
      </w:tr>
      <w:tr>
        <w:tc>
          <w:tcPr>
            <w:tcW w:type="dxa" w:w="2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Packaging</w:t>
            </w:r>
          </w:p>
        </w:tc>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360 €</w:t>
            </w:r>
          </w:p>
        </w:tc>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14 €</w:t>
            </w:r>
          </w:p>
        </w:tc>
        <w:tc>
          <w:tcPr>
            <w:tcW w:type="dxa" w:w="30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
            </w:r>
          </w:p>
        </w:tc>
      </w:tr>
      <w:tr>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Perte stock (DLC 5j, ~15%)</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150 €</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6 €</w:t>
            </w:r>
          </w:p>
        </w:tc>
        <w:tc>
          <w:tcPr>
            <w:tcW w:type="dxa" w:w="30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Réduite par commandes en ligne</w:t>
            </w:r>
          </w:p>
        </w:tc>
      </w:tr>
      <w:tr>
        <w:tc>
          <w:tcPr>
            <w:tcW w:type="dxa" w:w="2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Comptable + divers</w:t>
            </w:r>
          </w:p>
        </w:tc>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200 €</w:t>
            </w:r>
          </w:p>
        </w:tc>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8 €</w:t>
            </w:r>
          </w:p>
        </w:tc>
        <w:tc>
          <w:tcPr>
            <w:tcW w:type="dxa" w:w="30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
            </w:r>
          </w:p>
        </w:tc>
      </w:tr>
      <w:tr>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TOTAL</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2 670 €</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103 €/jour</w:t>
            </w:r>
          </w:p>
        </w:tc>
        <w:tc>
          <w:tcPr>
            <w:tcW w:type="dxa" w:w="30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
            </w:r>
          </w:p>
        </w:tc>
      </w:tr>
    </w:tbl>
    <w:p>
      <w:pPr>
        <w:spacing w:before="120" w:after="120"/>
      </w:pPr>
    </w:p>
    <w:p>
      <w:pPr>
        <w:pStyle w:val="Heading2"/>
        <w:spacing w:before="280" w:after="120"/>
      </w:pPr>
      <w:r>
        <w:rPr>
          <w:rFonts w:ascii="Arial" w:cs="Arial" w:eastAsia="Arial" w:hAnsi="Arial"/>
          <w:b/>
          <w:bCs/>
          <w:color w:val="A8895C"/>
          <w:sz w:val="24"/>
          <w:szCs w:val="24"/>
        </w:rPr>
        <w:t xml:space="preserve">6.2 Modèle de revenus et break-even</w:t>
      </w:r>
    </w:p>
    <w:p>
      <w:pPr>
        <w:spacing w:after="120" w:line="320"/>
        <w:jc w:val="both"/>
      </w:pPr>
      <w:r>
        <w:rPr>
          <w:rFonts w:ascii="Arial" w:cs="Arial" w:eastAsia="Arial" w:hAnsi="Arial"/>
          <w:b w:val="false"/>
          <w:bCs w:val="false"/>
          <w:i w:val="false"/>
          <w:iCs w:val="false"/>
          <w:color w:val="2C2824"/>
          <w:sz w:val="20"/>
          <w:szCs w:val="20"/>
        </w:rPr>
        <w:t xml:space="preserve">Marge brute par pièce B2C (vendue à 8€) : 8€ − 1,50€ (matières) − 0,50€ (packaging) = 6€ de marge brute, soit 75%.</w:t>
      </w:r>
    </w:p>
    <w:p>
      <w:pPr>
        <w:spacing w:after="120" w:line="320"/>
        <w:jc w:val="both"/>
      </w:pPr>
      <w:r>
        <w:rPr>
          <w:rFonts w:ascii="Arial" w:cs="Arial" w:eastAsia="Arial" w:hAnsi="Arial"/>
          <w:b w:val="false"/>
          <w:bCs w:val="false"/>
          <w:i w:val="false"/>
          <w:iCs w:val="false"/>
          <w:color w:val="2C2824"/>
          <w:sz w:val="20"/>
          <w:szCs w:val="20"/>
        </w:rPr>
        <w:t xml:space="preserve">Break-even pur B2C : 103€ ÷ 6€ = 18 pièces/jour.</w:t>
      </w:r>
    </w:p>
    <w:p>
      <w:pPr>
        <w:pBdr>
          <w:left w:val="single" w:color="A8895C" w:sz="8" w:space="12"/>
        </w:pBdr>
        <w:spacing w:before="200" w:after="200"/>
        <w:ind w:left="400" w:right="400"/>
      </w:pPr>
      <w:r>
        <w:rPr>
          <w:rFonts w:ascii="Arial" w:cs="Arial" w:eastAsia="Arial" w:hAnsi="Arial"/>
          <w:i/>
          <w:iCs/>
          <w:color w:val="1A1714"/>
          <w:sz w:val="20"/>
          <w:szCs w:val="20"/>
        </w:rPr>
        <w:t xml:space="preserve">18 pièces/jour dans un corridor où Love Dessert tourne 7j/7 jusqu’à minuit et Mac’Addict a ouvert un 2e site ? C’est non seulement atteignable, c’est conservateur.</w:t>
      </w:r>
    </w:p>
    <w:p>
      <w:pPr>
        <w:spacing w:after="120" w:line="320"/>
        <w:jc w:val="both"/>
      </w:pPr>
      <w:r>
        <w:rPr>
          <w:rFonts w:ascii="Arial" w:cs="Arial" w:eastAsia="Arial" w:hAnsi="Arial"/>
          <w:b w:val="false"/>
          <w:bCs w:val="false"/>
          <w:i w:val="false"/>
          <w:iCs w:val="false"/>
          <w:color w:val="2C2824"/>
          <w:sz w:val="20"/>
          <w:szCs w:val="20"/>
        </w:rPr>
        <w:t xml:space="preserve">Avec le canal B2B en complément (commandes restaurateurs), le break-even réel peut tomber à 12-14 pièces B2C/jour. Et avec la production à la commande en phase de lancement, les pertes de stock sont quasi nulles.</w:t>
      </w:r>
    </w:p>
    <w:p>
      <w:pPr>
        <w:pStyle w:val="Heading2"/>
        <w:spacing w:before="280" w:after="120"/>
      </w:pPr>
      <w:r>
        <w:rPr>
          <w:rFonts w:ascii="Arial" w:cs="Arial" w:eastAsia="Arial" w:hAnsi="Arial"/>
          <w:b/>
          <w:bCs/>
          <w:color w:val="A8895C"/>
          <w:sz w:val="24"/>
          <w:szCs w:val="24"/>
        </w:rPr>
        <w:t xml:space="preserve">6.3 Scénarios de projection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800"/>
        <w:gridCol w:w="1426"/>
      </w:tblGrid>
      <w:tr>
        <w:tc>
          <w:tcPr>
            <w:tcW w:type="dxa" w:w="20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Scénario</w:t>
            </w:r>
          </w:p>
        </w:tc>
        <w:tc>
          <w:tcPr>
            <w:tcW w:type="dxa" w:w="18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Pièces/jour</w:t>
            </w:r>
          </w:p>
        </w:tc>
        <w:tc>
          <w:tcPr>
            <w:tcW w:type="dxa" w:w="20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CA mensuel</w:t>
            </w:r>
          </w:p>
        </w:tc>
        <w:tc>
          <w:tcPr>
            <w:tcW w:type="dxa" w:w="18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Résultat net</w:t>
            </w:r>
          </w:p>
        </w:tc>
        <w:tc>
          <w:tcPr>
            <w:tcW w:type="dxa" w:w="1426"/>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Délai</w:t>
            </w:r>
          </w:p>
        </w:tc>
      </w:tr>
      <w:tr>
        <w:tc>
          <w:tcPr>
            <w:tcW w:type="dxa" w:w="2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Survie</w:t>
            </w:r>
          </w:p>
        </w:tc>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18 pcs</w:t>
            </w:r>
          </w:p>
        </w:tc>
        <w:tc>
          <w:tcPr>
            <w:tcW w:type="dxa" w:w="2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3 744 €</w:t>
            </w:r>
          </w:p>
        </w:tc>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Équilibre</w:t>
            </w:r>
          </w:p>
        </w:tc>
        <w:tc>
          <w:tcPr>
            <w:tcW w:type="dxa" w:w="14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Mois 1-3</w:t>
            </w:r>
          </w:p>
        </w:tc>
      </w:tr>
      <w:tr>
        <w:tc>
          <w:tcPr>
            <w:tcW w:type="dxa" w:w="20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Confort</w:t>
            </w:r>
          </w:p>
        </w:tc>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30 pcs</w:t>
            </w:r>
          </w:p>
        </w:tc>
        <w:tc>
          <w:tcPr>
            <w:tcW w:type="dxa" w:w="20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6 240 €</w:t>
            </w:r>
          </w:p>
        </w:tc>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+3 570 €</w:t>
            </w:r>
          </w:p>
        </w:tc>
        <w:tc>
          <w:tcPr>
            <w:tcW w:type="dxa" w:w="14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Mois 3-6</w:t>
            </w:r>
          </w:p>
        </w:tc>
      </w:tr>
      <w:tr>
        <w:tc>
          <w:tcPr>
            <w:tcW w:type="dxa" w:w="2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Croissance</w:t>
            </w:r>
          </w:p>
        </w:tc>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45 pcs</w:t>
            </w:r>
          </w:p>
        </w:tc>
        <w:tc>
          <w:tcPr>
            <w:tcW w:type="dxa" w:w="2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9 360 €</w:t>
            </w:r>
          </w:p>
        </w:tc>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+6 690 €</w:t>
            </w:r>
          </w:p>
        </w:tc>
        <w:tc>
          <w:tcPr>
            <w:tcW w:type="dxa" w:w="14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Mois 6-12</w:t>
            </w:r>
          </w:p>
        </w:tc>
      </w:tr>
      <w:tr>
        <w:tc>
          <w:tcPr>
            <w:tcW w:type="dxa" w:w="20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Pleine capacité</w:t>
            </w:r>
          </w:p>
        </w:tc>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60+ pcs</w:t>
            </w:r>
          </w:p>
        </w:tc>
        <w:tc>
          <w:tcPr>
            <w:tcW w:type="dxa" w:w="20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12 480 €+</w:t>
            </w:r>
          </w:p>
        </w:tc>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+9 810 €+</w:t>
            </w:r>
          </w:p>
        </w:tc>
        <w:tc>
          <w:tcPr>
            <w:tcW w:type="dxa" w:w="14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Mois 12+</w:t>
            </w:r>
          </w:p>
        </w:tc>
      </w:tr>
    </w:tbl>
    <w:p>
      <w:pPr>
        <w:spacing w:after="120" w:line="320"/>
        <w:jc w:val="both"/>
      </w:pPr>
      <w:r>
        <w:rPr>
          <w:rFonts w:ascii="Arial" w:cs="Arial" w:eastAsia="Arial" w:hAnsi="Arial"/>
          <w:b w:val="false"/>
          <w:bCs w:val="false"/>
          <w:i w:val="false"/>
          <w:iCs w:val="false"/>
          <w:color w:val="2C2824"/>
          <w:sz w:val="20"/>
          <w:szCs w:val="20"/>
        </w:rPr>
        <w:t xml:space="preserve">Note : ces projections ne comptent que le B2C. Le B2B (restaurateurs, hôtels, événements) vient en plus et peut représenter 30-40% du CA total à terme.</w:t>
      </w:r>
    </w:p>
    <w:p>
      <w:r>
        <w:br w:type="page"/>
      </w:r>
    </w:p>
    <w:p>
      <w:pPr>
        <w:pStyle w:val="Heading1"/>
        <w:spacing w:before="360" w:after="160"/>
      </w:pPr>
      <w:r>
        <w:rPr>
          <w:rFonts w:ascii="Arial" w:cs="Arial" w:eastAsia="Arial" w:hAnsi="Arial"/>
          <w:b/>
          <w:bCs/>
          <w:color w:val="1A1714"/>
          <w:sz w:val="28"/>
          <w:szCs w:val="28"/>
        </w:rPr>
        <w:t xml:space="preserve">7. MATRICE RISQUES / OPPORTUNITÉS</w:t>
      </w:r>
    </w:p>
    <w:p>
      <w:pPr>
        <w:pBdr>
          <w:bottom w:val="single" w:color="A8895C" w:sz="3" w:space="8"/>
        </w:pBdr>
        <w:spacing w:before="200" w:after="200"/>
      </w:pPr>
    </w:p>
    <w:p>
      <w:pPr>
        <w:pStyle w:val="Heading2"/>
        <w:spacing w:before="280" w:after="120"/>
      </w:pPr>
      <w:r>
        <w:rPr>
          <w:rFonts w:ascii="Arial" w:cs="Arial" w:eastAsia="Arial" w:hAnsi="Arial"/>
          <w:b/>
          <w:bCs/>
          <w:color w:val="A8895C"/>
          <w:sz w:val="24"/>
          <w:szCs w:val="24"/>
        </w:rPr>
        <w:t xml:space="preserve">7.1 Risques identifiés et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3826"/>
      </w:tblGrid>
      <w:tr>
        <w:tc>
          <w:tcPr>
            <w:tcW w:type="dxa" w:w="26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Risque</w:t>
            </w:r>
          </w:p>
        </w:tc>
        <w:tc>
          <w:tcPr>
            <w:tcW w:type="dxa" w:w="14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Probabilité</w:t>
            </w:r>
          </w:p>
        </w:tc>
        <w:tc>
          <w:tcPr>
            <w:tcW w:type="dxa" w:w="12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Impact</w:t>
            </w:r>
          </w:p>
        </w:tc>
        <w:tc>
          <w:tcPr>
            <w:tcW w:type="dxa" w:w="3826"/>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Mitigation</w:t>
            </w:r>
          </w:p>
        </w:tc>
      </w:tr>
      <w:tr>
        <w:tc>
          <w:tcPr>
            <w:tcW w:type="dxa" w:w="2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Façade refusée (PLU)</w:t>
            </w:r>
          </w:p>
        </w:tc>
        <w:tc>
          <w:tcPr>
            <w:tcW w:type="dxa" w:w="1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Moyenne</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Modéré</w:t>
            </w:r>
          </w:p>
        </w:tc>
        <w:tc>
          <w:tcPr>
            <w:tcW w:type="dxa" w:w="38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Vérifier AVANT bail · Alternatives design</w:t>
            </w:r>
          </w:p>
        </w:tc>
      </w:tr>
      <w:tr>
        <w:tc>
          <w:tcPr>
            <w:tcW w:type="dxa" w:w="2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1er étage hors bail</w:t>
            </w:r>
          </w:p>
        </w:tc>
        <w:tc>
          <w:tcPr>
            <w:tcW w:type="dxa" w:w="1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Moyenne</w:t>
            </w:r>
          </w:p>
        </w:tc>
        <w:tc>
          <w:tcPr>
            <w:tcW w:type="dxa" w:w="1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Modéré</w:t>
            </w:r>
          </w:p>
        </w:tc>
        <w:tc>
          <w:tcPr>
            <w:tcW w:type="dxa" w:w="38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Confirmer périmètre écrit</w:t>
            </w:r>
          </w:p>
        </w:tc>
      </w:tr>
      <w:tr>
        <w:tc>
          <w:tcPr>
            <w:tcW w:type="dxa" w:w="2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Perte stock DLC 5j</w:t>
            </w:r>
          </w:p>
        </w:tc>
        <w:tc>
          <w:tcPr>
            <w:tcW w:type="dxa" w:w="1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Faible</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Faible</w:t>
            </w:r>
          </w:p>
        </w:tc>
        <w:tc>
          <w:tcPr>
            <w:tcW w:type="dxa" w:w="38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Production à la commande Phase 1</w:t>
            </w:r>
          </w:p>
        </w:tc>
      </w:tr>
      <w:tr>
        <w:tc>
          <w:tcPr>
            <w:tcW w:type="dxa" w:w="2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Buzz digital insuffisant</w:t>
            </w:r>
          </w:p>
        </w:tc>
        <w:tc>
          <w:tcPr>
            <w:tcW w:type="dxa" w:w="1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Faible</w:t>
            </w:r>
          </w:p>
        </w:tc>
        <w:tc>
          <w:tcPr>
            <w:tcW w:type="dxa" w:w="1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Fort</w:t>
            </w:r>
          </w:p>
        </w:tc>
        <w:tc>
          <w:tcPr>
            <w:tcW w:type="dxa" w:w="38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Contenu TikTok 3 mois AVANT ouverture</w:t>
            </w:r>
          </w:p>
        </w:tc>
      </w:tr>
      <w:tr>
        <w:tc>
          <w:tcPr>
            <w:tcW w:type="dxa" w:w="2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Vandalisme</w:t>
            </w:r>
          </w:p>
        </w:tc>
        <w:tc>
          <w:tcPr>
            <w:tcW w:type="dxa" w:w="1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Faible</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Modéré</w:t>
            </w:r>
          </w:p>
        </w:tc>
        <w:tc>
          <w:tcPr>
            <w:tcW w:type="dxa" w:w="38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Rideau métallique + assurance</w:t>
            </w:r>
          </w:p>
        </w:tc>
      </w:tr>
    </w:tbl>
    <w:p>
      <w:pPr>
        <w:spacing w:before="120" w:after="120"/>
      </w:pPr>
    </w:p>
    <w:p>
      <w:pPr>
        <w:pStyle w:val="Heading2"/>
        <w:spacing w:before="280" w:after="120"/>
      </w:pPr>
      <w:r>
        <w:rPr>
          <w:rFonts w:ascii="Arial" w:cs="Arial" w:eastAsia="Arial" w:hAnsi="Arial"/>
          <w:b/>
          <w:bCs/>
          <w:color w:val="A8895C"/>
          <w:sz w:val="24"/>
          <w:szCs w:val="24"/>
        </w:rPr>
        <w:t xml:space="preserve">7.2 Opportunités confirmées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Opportunité</w:t>
            </w:r>
          </w:p>
        </w:tc>
        <w:tc>
          <w:tcPr>
            <w:tcW w:type="dxa" w:w="14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Force</w:t>
            </w:r>
          </w:p>
        </w:tc>
        <w:tc>
          <w:tcPr>
            <w:tcW w:type="dxa" w:w="4426"/>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Condition de succès</w:t>
            </w:r>
          </w:p>
        </w:tc>
      </w:tr>
      <w:tr>
        <w:tc>
          <w:tcPr>
            <w:tcW w:type="dxa" w:w="3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Marché dessert validé par 5 enseignes dans le quartier</w:t>
            </w:r>
          </w:p>
        </w:tc>
        <w:tc>
          <w:tcPr>
            <w:tcW w:type="dxa" w:w="1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Très forte</w:t>
            </w:r>
          </w:p>
        </w:tc>
        <w:tc>
          <w:tcPr>
            <w:tcW w:type="dxa" w:w="44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Aucune — c’est un fait</w:t>
            </w:r>
          </w:p>
        </w:tc>
      </w:tr>
      <w:tr>
        <w:tc>
          <w:tcPr>
            <w:tcW w:type="dxa" w:w="3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Créneau premium 100% vacant dans le quartier</w:t>
            </w:r>
          </w:p>
        </w:tc>
        <w:tc>
          <w:tcPr>
            <w:tcW w:type="dxa" w:w="1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Très forte</w:t>
            </w:r>
          </w:p>
        </w:tc>
        <w:tc>
          <w:tcPr>
            <w:tcW w:type="dxa" w:w="44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First-mover advantage — agir vite</w:t>
            </w:r>
          </w:p>
        </w:tc>
      </w:tr>
      <w:tr>
        <w:tc>
          <w:tcPr>
            <w:tcW w:type="dxa" w:w="3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Loyer 750€ = risque quasi nul</w:t>
            </w:r>
          </w:p>
        </w:tc>
        <w:tc>
          <w:tcPr>
            <w:tcW w:type="dxa" w:w="1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Très forte</w:t>
            </w:r>
          </w:p>
        </w:tc>
        <w:tc>
          <w:tcPr>
            <w:tcW w:type="dxa" w:w="44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Aucune — structurel</w:t>
            </w:r>
          </w:p>
        </w:tc>
      </w:tr>
      <w:tr>
        <w:tc>
          <w:tcPr>
            <w:tcW w:type="dxa" w:w="3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Parking gratuit attenant</w:t>
            </w:r>
          </w:p>
        </w:tc>
        <w:tc>
          <w:tcPr>
            <w:tcW w:type="dxa" w:w="1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Forte</w:t>
            </w:r>
          </w:p>
        </w:tc>
        <w:tc>
          <w:tcPr>
            <w:tcW w:type="dxa" w:w="44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Vérifier pérennité</w:t>
            </w:r>
          </w:p>
        </w:tc>
      </w:tr>
      <w:tr>
        <w:tc>
          <w:tcPr>
            <w:tcW w:type="dxa" w:w="3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Double canal B2C + B2B</w:t>
            </w:r>
          </w:p>
        </w:tc>
        <w:tc>
          <w:tcPr>
            <w:tcW w:type="dxa" w:w="1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Forte</w:t>
            </w:r>
          </w:p>
        </w:tc>
        <w:tc>
          <w:tcPr>
            <w:tcW w:type="dxa" w:w="44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Maintenir pipeline B2B actif</w:t>
            </w:r>
          </w:p>
        </w:tc>
      </w:tr>
      <w:tr>
        <w:tc>
          <w:tcPr>
            <w:tcW w:type="dxa" w:w="3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Potentiel TikTok viral (trompe-l’œil)</w:t>
            </w:r>
          </w:p>
        </w:tc>
        <w:tc>
          <w:tcPr>
            <w:tcW w:type="dxa" w:w="1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Très forte</w:t>
            </w:r>
          </w:p>
        </w:tc>
        <w:tc>
          <w:tcPr>
            <w:tcW w:type="dxa" w:w="44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Stratégie contenu pré-ouverture</w:t>
            </w:r>
          </w:p>
        </w:tc>
      </w:tr>
      <w:tr>
        <w:tc>
          <w:tcPr>
            <w:tcW w:type="dxa" w:w="3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Destination store via réseaux sociaux</w:t>
            </w:r>
          </w:p>
        </w:tc>
        <w:tc>
          <w:tcPr>
            <w:tcW w:type="dxa" w:w="1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Très forte</w:t>
            </w:r>
          </w:p>
        </w:tc>
        <w:tc>
          <w:tcPr>
            <w:tcW w:type="dxa" w:w="44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Construire la communauté en amont</w:t>
            </w:r>
          </w:p>
        </w:tc>
      </w:tr>
    </w:tbl>
    <w:p>
      <w:pPr>
        <w:spacing w:after="120" w:line="320"/>
        <w:jc w:val="both"/>
      </w:pPr>
      <w:r>
        <w:rPr>
          <w:rFonts w:ascii="Arial" w:cs="Arial" w:eastAsia="Arial" w:hAnsi="Arial"/>
          <w:b w:val="false"/>
          <w:bCs w:val="false"/>
          <w:i w:val="false"/>
          <w:iCs w:val="false"/>
          <w:color w:val="2C2824"/>
          <w:sz w:val="20"/>
          <w:szCs w:val="20"/>
        </w:rPr>
        <w:t xml:space="preserve">Le ratio opportunités/risques est déséquilibré en faveur du go. Le risque principal (insuffisance de buzz digital) est entièrement contrôlable par l’équipe. Les opportunités structurelles (marché validé, loyer bas, créneau vacant) sont des faits, pas des hypothèses.</w:t>
      </w:r>
    </w:p>
    <w:p>
      <w:r>
        <w:br w:type="page"/>
      </w:r>
    </w:p>
    <w:p>
      <w:pPr>
        <w:pStyle w:val="Heading1"/>
        <w:spacing w:before="360" w:after="160"/>
      </w:pPr>
      <w:r>
        <w:rPr>
          <w:rFonts w:ascii="Arial" w:cs="Arial" w:eastAsia="Arial" w:hAnsi="Arial"/>
          <w:b/>
          <w:bCs/>
          <w:color w:val="1A1714"/>
          <w:sz w:val="28"/>
          <w:szCs w:val="28"/>
        </w:rPr>
        <w:t xml:space="preserve">8. STRATÉGIE D’IMPLANTATION : ARRIVER FORT, FRAPPER FORT</w:t>
      </w:r>
    </w:p>
    <w:p>
      <w:pPr>
        <w:pBdr>
          <w:bottom w:val="single" w:color="A8895C" w:sz="3" w:space="8"/>
        </w:pBdr>
        <w:spacing w:before="200" w:after="200"/>
      </w:pPr>
    </w:p>
    <w:p>
      <w:pPr>
        <w:pBdr>
          <w:left w:val="single" w:color="A8895C" w:sz="8" w:space="12"/>
        </w:pBdr>
        <w:spacing w:before="200" w:after="200"/>
        <w:ind w:left="400" w:right="400"/>
      </w:pPr>
      <w:r>
        <w:rPr>
          <w:rFonts w:ascii="Arial" w:cs="Arial" w:eastAsia="Arial" w:hAnsi="Arial"/>
          <w:i/>
          <w:iCs/>
          <w:color w:val="1A1714"/>
          <w:sz w:val="20"/>
          <w:szCs w:val="20"/>
        </w:rPr>
        <w:t xml:space="preserve">Dans un quartier qui bouge, où il y a du monde, du mouvement, des concurrents installés — on n’arrive pas discrètement. On arrive avec une identité qui claque, un produit qui scotche, et un digital qui tourne déjà avant l’ouverture.</w:t>
      </w:r>
    </w:p>
    <w:p>
      <w:pPr>
        <w:spacing w:after="120" w:line="320"/>
        <w:jc w:val="both"/>
      </w:pPr>
      <w:r>
        <w:rPr>
          <w:rFonts w:ascii="Arial" w:cs="Arial" w:eastAsia="Arial" w:hAnsi="Arial"/>
          <w:b w:val="false"/>
          <w:bCs w:val="false"/>
          <w:i w:val="false"/>
          <w:iCs w:val="false"/>
          <w:color w:val="2C2824"/>
          <w:sz w:val="20"/>
          <w:szCs w:val="20"/>
        </w:rPr>
        <w:t xml:space="preserve">Love Dessert a une salle à l’étage. Dubai Sweet fait du buzz TikTok. Mac’Addict est sur 2 sites. On ne s’installe pas à côté de ça avec un comptoir et un rideau métallique. On arrive avec le monolithe noir, la vitrine éclairée, l’expérience trompe-l’œil complète dès le jour 1.</w:t>
      </w:r>
    </w:p>
    <w:p>
      <w:pPr>
        <w:spacing w:after="120" w:line="320"/>
        <w:jc w:val="both"/>
      </w:pPr>
      <w:r>
        <w:rPr>
          <w:rFonts w:ascii="Arial" w:cs="Arial" w:eastAsia="Arial" w:hAnsi="Arial"/>
          <w:b w:val="false"/>
          <w:bCs w:val="false"/>
          <w:i w:val="false"/>
          <w:iCs w:val="false"/>
          <w:color w:val="2C2824"/>
          <w:sz w:val="20"/>
          <w:szCs w:val="20"/>
        </w:rPr>
        <w:t xml:space="preserve">La stratégie repose sur deux fronts simultanés : un point de vente qui marque le quartier dès l’ouverture + une présence digitale qui explose en parallèle. Les deux se nourrissent mutuellement.</w:t>
      </w:r>
    </w:p>
    <w:p>
      <w:pPr>
        <w:pStyle w:val="Heading2"/>
        <w:spacing w:before="280" w:after="120"/>
      </w:pPr>
      <w:r>
        <w:rPr>
          <w:rFonts w:ascii="Arial" w:cs="Arial" w:eastAsia="Arial" w:hAnsi="Arial"/>
          <w:b/>
          <w:bCs/>
          <w:color w:val="A8895C"/>
          <w:sz w:val="24"/>
          <w:szCs w:val="24"/>
        </w:rPr>
        <w:t xml:space="preserve">FRONT 1 : Le point de vente — « Le Monolithe Noir » dès le jour 1</w:t>
      </w:r>
    </w:p>
    <w:p>
      <w:pPr>
        <w:spacing w:after="120" w:line="320"/>
        <w:jc w:val="both"/>
      </w:pPr>
      <w:r>
        <w:rPr>
          <w:rFonts w:ascii="Arial" w:cs="Arial" w:eastAsia="Arial" w:hAnsi="Arial"/>
          <w:b w:val="false"/>
          <w:bCs w:val="false"/>
          <w:i w:val="false"/>
          <w:iCs w:val="false"/>
          <w:color w:val="2C2824"/>
          <w:sz w:val="20"/>
          <w:szCs w:val="20"/>
        </w:rPr>
        <w:t xml:space="preserve">Pas de phase atelier, pas d’aménagement provisoire. On investit d’entrée dans l’expérience complète : façade noire mat, enseigne laiton rétroéclairée, vitrine latérale transformée en baie fixe avec présentoir éclairé, intérieur aux codes Maison Mirage (crème, or, noir, éclairage chaud 2700K).</w:t>
      </w:r>
    </w:p>
    <w:p>
      <w:pPr>
        <w:spacing w:after="120" w:line="320"/>
        <w:jc w:val="both"/>
      </w:pPr>
      <w:r>
        <w:rPr>
          <w:rFonts w:ascii="Arial" w:cs="Arial" w:eastAsia="Arial" w:hAnsi="Arial"/>
          <w:b w:val="false"/>
          <w:bCs w:val="false"/>
          <w:i w:val="false"/>
          <w:iCs w:val="false"/>
          <w:color w:val="2C2824"/>
          <w:sz w:val="20"/>
          <w:szCs w:val="20"/>
        </w:rPr>
        <w:t xml:space="preserve">Quand une femme du quartier passe avec ses enfants et voit cette vitrine — un citron parfait qui est en fait un gâteau, une mangue bluffante de réalisme, un avocat comestible — elle s’arrête. Elle photographie. Elle poste. Et le trompe-l’œil fait le reste du travail marketing.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c>
          <w:tcPr>
            <w:tcW w:type="dxa" w:w="28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Poste</w:t>
            </w:r>
          </w:p>
        </w:tc>
        <w:tc>
          <w:tcPr>
            <w:tcW w:type="dxa" w:w="36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Détail</w:t>
            </w:r>
          </w:p>
        </w:tc>
        <w:tc>
          <w:tcPr>
            <w:tcW w:type="dxa" w:w="2626"/>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Budget</w:t>
            </w:r>
          </w:p>
        </w:tc>
      </w:tr>
      <w:tr>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Façade monolithe noir</w:t>
            </w:r>
          </w:p>
        </w:tc>
        <w:tc>
          <w:tcPr>
            <w:tcW w:type="dxa" w:w="3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Peinture noire mat + ravalement complet</w:t>
            </w:r>
          </w:p>
        </w:tc>
        <w:tc>
          <w:tcPr>
            <w:tcW w:type="dxa" w:w="26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2 500 €</w:t>
            </w:r>
          </w:p>
        </w:tc>
      </w:tr>
      <w:tr>
        <w:tc>
          <w:tcPr>
            <w:tcW w:type="dxa" w:w="2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Enseigne laiton rétroéclairée</w:t>
            </w:r>
          </w:p>
        </w:tc>
        <w:tc>
          <w:tcPr>
            <w:tcW w:type="dxa" w:w="3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Lettrage doré découpé + rétro-éclairage LED</w:t>
            </w:r>
          </w:p>
        </w:tc>
        <w:tc>
          <w:tcPr>
            <w:tcW w:type="dxa" w:w="26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1 800 €</w:t>
            </w:r>
          </w:p>
        </w:tc>
      </w:tr>
      <w:tr>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Vitrine latérale baie fixe</w:t>
            </w:r>
          </w:p>
        </w:tc>
        <w:tc>
          <w:tcPr>
            <w:tcW w:type="dxa" w:w="3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Remplacement croisillons + présentoir 3 étages éclairé</w:t>
            </w:r>
          </w:p>
        </w:tc>
        <w:tc>
          <w:tcPr>
            <w:tcW w:type="dxa" w:w="26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2 200 €</w:t>
            </w:r>
          </w:p>
        </w:tc>
      </w:tr>
      <w:tr>
        <w:tc>
          <w:tcPr>
            <w:tcW w:type="dxa" w:w="2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Vitrine réfrigérée pro</w:t>
            </w:r>
          </w:p>
        </w:tc>
        <w:tc>
          <w:tcPr>
            <w:tcW w:type="dxa" w:w="3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Modèle vitrine pâtisserie éclairée</w:t>
            </w:r>
          </w:p>
        </w:tc>
        <w:tc>
          <w:tcPr>
            <w:tcW w:type="dxa" w:w="26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3 000-4 000 €</w:t>
            </w:r>
          </w:p>
        </w:tc>
      </w:tr>
      <w:tr>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Aménagement intérieur</w:t>
            </w:r>
          </w:p>
        </w:tc>
        <w:tc>
          <w:tcPr>
            <w:tcW w:type="dxa" w:w="3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Sol, murs crème, comptoir sur mesure, mobilier</w:t>
            </w:r>
          </w:p>
        </w:tc>
        <w:tc>
          <w:tcPr>
            <w:tcW w:type="dxa" w:w="26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3 000 €</w:t>
            </w:r>
          </w:p>
        </w:tc>
      </w:tr>
      <w:tr>
        <w:tc>
          <w:tcPr>
            <w:tcW w:type="dxa" w:w="2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Éclairage complet</w:t>
            </w:r>
          </w:p>
        </w:tc>
        <w:tc>
          <w:tcPr>
            <w:tcW w:type="dxa" w:w="3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Spots LED 2700K rail (vitrine + comptoir + salle)</w:t>
            </w:r>
          </w:p>
        </w:tc>
        <w:tc>
          <w:tcPr>
            <w:tcW w:type="dxa" w:w="26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800 €</w:t>
            </w:r>
          </w:p>
        </w:tc>
      </w:tr>
      <w:tr>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Rideau métallique sécurisé</w:t>
            </w:r>
          </w:p>
        </w:tc>
        <w:tc>
          <w:tcPr>
            <w:tcW w:type="dxa" w:w="3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Si non existant</w:t>
            </w:r>
          </w:p>
        </w:tc>
        <w:tc>
          <w:tcPr>
            <w:tcW w:type="dxa" w:w="26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1 000 €</w:t>
            </w:r>
          </w:p>
        </w:tc>
      </w:tr>
      <w:tr>
        <w:tc>
          <w:tcPr>
            <w:tcW w:type="dxa" w:w="2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Signage extérieur</w:t>
            </w:r>
          </w:p>
        </w:tc>
        <w:tc>
          <w:tcPr>
            <w:tcW w:type="dxa" w:w="3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Panneau latéral + stickers vitrine dorés</w:t>
            </w:r>
          </w:p>
        </w:tc>
        <w:tc>
          <w:tcPr>
            <w:tcW w:type="dxa" w:w="26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500 €</w:t>
            </w:r>
          </w:p>
        </w:tc>
      </w:tr>
      <w:tr>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TOTAL AMÉNAGEMENT</w:t>
            </w:r>
          </w:p>
        </w:tc>
        <w:tc>
          <w:tcPr>
            <w:tcW w:type="dxa" w:w="3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
            </w:r>
          </w:p>
        </w:tc>
        <w:tc>
          <w:tcPr>
            <w:tcW w:type="dxa" w:w="26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14 800-15 800 €</w:t>
            </w:r>
          </w:p>
        </w:tc>
      </w:tr>
    </w:tbl>
    <w:p>
      <w:pPr>
        <w:spacing w:before="80" w:after="80"/>
      </w:pPr>
    </w:p>
    <w:p>
      <w:pPr>
        <w:pStyle w:val="Heading2"/>
        <w:spacing w:before="280" w:after="120"/>
      </w:pPr>
      <w:r>
        <w:rPr>
          <w:rFonts w:ascii="Arial" w:cs="Arial" w:eastAsia="Arial" w:hAnsi="Arial"/>
          <w:b/>
          <w:bCs/>
          <w:color w:val="A8895C"/>
          <w:sz w:val="24"/>
          <w:szCs w:val="24"/>
        </w:rPr>
        <w:t xml:space="preserve">FRONT 2 : Le digital — Buzz pré-ouverture de 60 jours</w:t>
      </w:r>
    </w:p>
    <w:p>
      <w:pPr>
        <w:spacing w:after="120" w:line="320"/>
        <w:jc w:val="both"/>
      </w:pPr>
      <w:r>
        <w:rPr>
          <w:rFonts w:ascii="Arial" w:cs="Arial" w:eastAsia="Arial" w:hAnsi="Arial"/>
          <w:b w:val="false"/>
          <w:bCs w:val="false"/>
          <w:i w:val="false"/>
          <w:iCs w:val="false"/>
          <w:color w:val="2C2824"/>
          <w:sz w:val="20"/>
          <w:szCs w:val="20"/>
        </w:rPr>
        <w:t xml:space="preserve">Le contenu démarre 60 jours AVANT l’ouverture et ne s’arrête jamais. Le chantier lui-même devient du contenu : timelapse de la transformation du salon de coiffure en monolithe noir, révélation progressive des créations, teasers « Ce n’est pas ce que vous croyez », compte à rebours jusqu’à l’opening.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26"/>
      </w:tblGrid>
      <w:tr>
        <w:tc>
          <w:tcPr>
            <w:tcW w:type="dxa" w:w="16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Semaine</w:t>
            </w:r>
          </w:p>
        </w:tc>
        <w:tc>
          <w:tcPr>
            <w:tcW w:type="dxa" w:w="42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Action digitale</w:t>
            </w:r>
          </w:p>
        </w:tc>
        <w:tc>
          <w:tcPr>
            <w:tcW w:type="dxa" w:w="3226"/>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Objectif</w:t>
            </w:r>
          </w:p>
        </w:tc>
      </w:tr>
      <w:tr>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S-8 à S-6</w:t>
            </w:r>
          </w:p>
        </w:tc>
        <w:tc>
          <w:tcPr>
            <w:tcW w:type="dxa" w:w="4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Timelapse transformation du local</w:t>
            </w:r>
          </w:p>
        </w:tc>
        <w:tc>
          <w:tcPr>
            <w:tcW w:type="dxa" w:w="32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Créer l’attente, montrer le chantier</w:t>
            </w:r>
          </w:p>
        </w:tc>
      </w:tr>
      <w:tr>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S-6 à S-4</w:t>
            </w:r>
          </w:p>
        </w:tc>
        <w:tc>
          <w:tcPr>
            <w:tcW w:type="dxa" w:w="4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Teasers produit (mains artisan, détails trompe-l’œil)</w:t>
            </w:r>
          </w:p>
        </w:tc>
        <w:tc>
          <w:tcPr>
            <w:tcW w:type="dxa" w:w="32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Générer le « c’est quoi ?! »</w:t>
            </w:r>
          </w:p>
        </w:tc>
      </w:tr>
      <w:tr>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S-4 à S-2</w:t>
            </w:r>
          </w:p>
        </w:tc>
        <w:tc>
          <w:tcPr>
            <w:tcW w:type="dxa" w:w="4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Révélations trompe-l’œil (coupe des pièces)</w:t>
            </w:r>
          </w:p>
        </w:tc>
        <w:tc>
          <w:tcPr>
            <w:tcW w:type="dxa" w:w="32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Viraliser — le moment wow</w:t>
            </w:r>
          </w:p>
        </w:tc>
      </w:tr>
      <w:tr>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S-2 à S-1</w:t>
            </w:r>
          </w:p>
        </w:tc>
        <w:tc>
          <w:tcPr>
            <w:tcW w:type="dxa" w:w="4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Compte à rebours + invitation opening</w:t>
            </w:r>
          </w:p>
        </w:tc>
        <w:tc>
          <w:tcPr>
            <w:tcW w:type="dxa" w:w="32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Convertir les followers en visiteurs</w:t>
            </w:r>
          </w:p>
        </w:tc>
      </w:tr>
      <w:tr>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Jour J</w:t>
            </w:r>
          </w:p>
        </w:tc>
        <w:tc>
          <w:tcPr>
            <w:tcW w:type="dxa" w:w="4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Grand opening filmé + premiers clients + stories live</w:t>
            </w:r>
          </w:p>
        </w:tc>
        <w:tc>
          <w:tcPr>
            <w:tcW w:type="dxa" w:w="32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Créer l’événement</w:t>
            </w:r>
          </w:p>
        </w:tc>
      </w:tr>
      <w:tr>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S+1 à S+4</w:t>
            </w:r>
          </w:p>
        </w:tc>
        <w:tc>
          <w:tcPr>
            <w:tcW w:type="dxa" w:w="4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UGC clients (réactions, coupes) + contenu régulier</w:t>
            </w:r>
          </w:p>
        </w:tc>
        <w:tc>
          <w:tcPr>
            <w:tcW w:type="dxa" w:w="32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Maintenir le buzz post-ouverture</w:t>
            </w:r>
          </w:p>
        </w:tc>
      </w:tr>
    </w:tbl>
    <w:p>
      <w:pPr>
        <w:spacing w:before="80" w:after="80"/>
      </w:pPr>
    </w:p>
    <w:p>
      <w:pPr>
        <w:spacing w:after="120" w:line="320"/>
        <w:jc w:val="both"/>
      </w:pPr>
      <w:r>
        <w:rPr>
          <w:rFonts w:ascii="Arial" w:cs="Arial" w:eastAsia="Arial" w:hAnsi="Arial"/>
          <w:b w:val="false"/>
          <w:bCs w:val="false"/>
          <w:i w:val="false"/>
          <w:iCs w:val="false"/>
          <w:color w:val="2C2824"/>
          <w:sz w:val="20"/>
          <w:szCs w:val="20"/>
        </w:rPr>
        <w:t xml:space="preserve">Budget digital : 1 500€ (boost TikTok/Instagram ciblé Marseille + PACA). Le contenu organique fait le gros du travail — le trompe-l’œil EST du contenu viral par nature. Chaque pièce coupée en deux devant la caméra = des milliers de vues.</w:t>
      </w:r>
    </w:p>
    <w:p>
      <w:pPr>
        <w:pStyle w:val="Heading2"/>
        <w:spacing w:before="280" w:after="120"/>
      </w:pPr>
      <w:r>
        <w:rPr>
          <w:rFonts w:ascii="Arial" w:cs="Arial" w:eastAsia="Arial" w:hAnsi="Arial"/>
          <w:b/>
          <w:bCs/>
          <w:color w:val="A8895C"/>
          <w:sz w:val="24"/>
          <w:szCs w:val="24"/>
        </w:rPr>
        <w:t xml:space="preserve">FRONT 3 : Le B2B en parallèle — Le plancher de revenus</w:t>
      </w:r>
    </w:p>
    <w:p>
      <w:pPr>
        <w:spacing w:after="120" w:line="320"/>
        <w:jc w:val="both"/>
      </w:pPr>
      <w:r>
        <w:rPr>
          <w:rFonts w:ascii="Arial" w:cs="Arial" w:eastAsia="Arial" w:hAnsi="Arial"/>
          <w:b w:val="false"/>
          <w:bCs w:val="false"/>
          <w:i w:val="false"/>
          <w:iCs w:val="false"/>
          <w:color w:val="2C2824"/>
          <w:sz w:val="20"/>
          <w:szCs w:val="20"/>
        </w:rPr>
        <w:t xml:space="preserve">Dès la signature du bail, le démarchage B2B reprend à plein régime dans le quartier et sur Marseille. Les restaurateurs de Saint-Antoine, les hôtels du Vieux-Port, les traiteurs événementiels. Le point de vente physique donne une crédibilité immédiate : « Venez goûter à la boutique » est l’argument de vente le plus puissant. Le B2B assure un socle de CA régulier indépendamment du trafic boutique.</w:t>
      </w:r>
    </w:p>
    <w:p>
      <w:r>
        <w:br w:type="page"/>
      </w:r>
    </w:p>
    <w:p>
      <w:pPr>
        <w:pStyle w:val="Heading1"/>
        <w:spacing w:before="360" w:after="160"/>
      </w:pPr>
      <w:r>
        <w:rPr>
          <w:rFonts w:ascii="Arial" w:cs="Arial" w:eastAsia="Arial" w:hAnsi="Arial"/>
          <w:b/>
          <w:bCs/>
          <w:color w:val="1A1714"/>
          <w:sz w:val="28"/>
          <w:szCs w:val="28"/>
        </w:rPr>
        <w:t xml:space="preserve">9. BUDGET D’IMPLANTATION AVEC FACILITÉ DE PAIEMENT</w:t>
      </w:r>
    </w:p>
    <w:p>
      <w:pPr>
        <w:pBdr>
          <w:bottom w:val="single" w:color="A8895C" w:sz="3" w:space="8"/>
        </w:pBdr>
        <w:spacing w:before="200" w:after="200"/>
      </w:pPr>
    </w:p>
    <w:p>
      <w:pPr>
        <w:pBdr>
          <w:left w:val="single" w:color="A8895C" w:sz="8" w:space="12"/>
        </w:pBdr>
        <w:spacing w:before="200" w:after="200"/>
        <w:ind w:left="400" w:right="400"/>
      </w:pPr>
      <w:r>
        <w:rPr>
          <w:rFonts w:ascii="Arial" w:cs="Arial" w:eastAsia="Arial" w:hAnsi="Arial"/>
          <w:i/>
          <w:iCs/>
          <w:color w:val="1A1714"/>
          <w:sz w:val="20"/>
          <w:szCs w:val="20"/>
        </w:rPr>
        <w:t xml:space="preserve">Avec la facilité de paiement sur le local, l’investissement initial est étalé et absorbable. Voici le budget complet pour un lancement 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2626"/>
      </w:tblGrid>
      <w:tr>
        <w:tc>
          <w:tcPr>
            <w:tcW w:type="dxa" w:w="28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Poste</w:t>
            </w:r>
          </w:p>
        </w:tc>
        <w:tc>
          <w:tcPr>
            <w:tcW w:type="dxa" w:w="16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Montant</w:t>
            </w:r>
          </w:p>
        </w:tc>
        <w:tc>
          <w:tcPr>
            <w:tcW w:type="dxa" w:w="20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Paiement</w:t>
            </w:r>
          </w:p>
        </w:tc>
        <w:tc>
          <w:tcPr>
            <w:tcW w:type="dxa" w:w="2626"/>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Notes</w:t>
            </w:r>
          </w:p>
        </w:tc>
      </w:tr>
      <w:tr>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Aménagement complet (monolithe)</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15 000 €</w:t>
            </w:r>
          </w:p>
        </w:tc>
        <w:tc>
          <w:tcPr>
            <w:tcW w:type="dxa" w:w="2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Facilité de paiement</w:t>
            </w:r>
          </w:p>
        </w:tc>
        <w:tc>
          <w:tcPr>
            <w:tcW w:type="dxa" w:w="26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Façade + intérieur + vitrine</w:t>
            </w:r>
          </w:p>
        </w:tc>
      </w:tr>
      <w:tr>
        <w:tc>
          <w:tcPr>
            <w:tcW w:type="dxa" w:w="2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Vitrine réfrigérée pro</w:t>
            </w:r>
          </w:p>
        </w:tc>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3 500 €</w:t>
            </w:r>
          </w:p>
        </w:tc>
        <w:tc>
          <w:tcPr>
            <w:tcW w:type="dxa" w:w="20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Comptant ou LOA</w:t>
            </w:r>
          </w:p>
        </w:tc>
        <w:tc>
          <w:tcPr>
            <w:tcW w:type="dxa" w:w="26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Vitrine pâtisserie éclairée</w:t>
            </w:r>
          </w:p>
        </w:tc>
      </w:tr>
      <w:tr>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Fonds de roulement (3 mois)</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5 000 €</w:t>
            </w:r>
          </w:p>
        </w:tc>
        <w:tc>
          <w:tcPr>
            <w:tcW w:type="dxa" w:w="2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Comptant</w:t>
            </w:r>
          </w:p>
        </w:tc>
        <w:tc>
          <w:tcPr>
            <w:tcW w:type="dxa" w:w="26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Loyer + charges + matières</w:t>
            </w:r>
          </w:p>
        </w:tc>
      </w:tr>
      <w:tr>
        <w:tc>
          <w:tcPr>
            <w:tcW w:type="dxa" w:w="2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Packaging initial</w:t>
            </w:r>
          </w:p>
        </w:tc>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3 600 €</w:t>
            </w:r>
          </w:p>
        </w:tc>
        <w:tc>
          <w:tcPr>
            <w:tcW w:type="dxa" w:w="20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Comptant</w:t>
            </w:r>
          </w:p>
        </w:tc>
        <w:tc>
          <w:tcPr>
            <w:tcW w:type="dxa" w:w="26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Stock boîtes + emballages</w:t>
            </w:r>
          </w:p>
        </w:tc>
      </w:tr>
      <w:tr>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Marketing digital pré-ouverture</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1 500 €</w:t>
            </w:r>
          </w:p>
        </w:tc>
        <w:tc>
          <w:tcPr>
            <w:tcW w:type="dxa" w:w="2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Comptant</w:t>
            </w:r>
          </w:p>
        </w:tc>
        <w:tc>
          <w:tcPr>
            <w:tcW w:type="dxa" w:w="26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Boost TikTok/Insta 60 jours</w:t>
            </w:r>
          </w:p>
        </w:tc>
      </w:tr>
      <w:tr>
        <w:tc>
          <w:tcPr>
            <w:tcW w:type="dxa" w:w="2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Matériel cuisine / petit équipement</w:t>
            </w:r>
          </w:p>
        </w:tc>
        <w:tc>
          <w:tcPr>
            <w:tcW w:type="dxa" w:w="16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1 500 €</w:t>
            </w:r>
          </w:p>
        </w:tc>
        <w:tc>
          <w:tcPr>
            <w:tcW w:type="dxa" w:w="20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Comptant</w:t>
            </w:r>
          </w:p>
        </w:tc>
        <w:tc>
          <w:tcPr>
            <w:tcW w:type="dxa" w:w="26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Compléments équipement</w:t>
            </w:r>
          </w:p>
        </w:tc>
      </w:tr>
      <w:tr>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TOTAL INVESTISSEMENT</w:t>
            </w:r>
          </w:p>
        </w:tc>
        <w:tc>
          <w:tcPr>
            <w:tcW w:type="dxa" w:w="16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30 100 €</w:t>
            </w:r>
          </w:p>
        </w:tc>
        <w:tc>
          <w:tcPr>
            <w:tcW w:type="dxa" w:w="20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
            </w:r>
          </w:p>
        </w:tc>
        <w:tc>
          <w:tcPr>
            <w:tcW w:type="dxa" w:w="26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
            </w:r>
          </w:p>
        </w:tc>
      </w:tr>
    </w:tbl>
    <w:p>
      <w:pPr>
        <w:spacing w:before="120" w:after="120"/>
      </w:pPr>
    </w:p>
    <w:p>
      <w:pPr>
        <w:pStyle w:val="Heading2"/>
        <w:spacing w:before="280" w:after="120"/>
      </w:pPr>
      <w:r>
        <w:rPr>
          <w:rFonts w:ascii="Arial" w:cs="Arial" w:eastAsia="Arial" w:hAnsi="Arial"/>
          <w:b/>
          <w:bCs/>
          <w:color w:val="A8895C"/>
          <w:sz w:val="24"/>
          <w:szCs w:val="24"/>
        </w:rPr>
        <w:t xml:space="preserve">9.1 Plan de trésorerie — Mois par mois</w:t>
      </w:r>
    </w:p>
    <w:p>
      <w:pPr>
        <w:spacing w:after="120" w:line="320"/>
        <w:jc w:val="both"/>
      </w:pPr>
      <w:r>
        <w:rPr>
          <w:rFonts w:ascii="Arial" w:cs="Arial" w:eastAsia="Arial" w:hAnsi="Arial"/>
          <w:b w:val="false"/>
          <w:bCs w:val="false"/>
          <w:i w:val="false"/>
          <w:iCs w:val="false"/>
          <w:color w:val="2C2824"/>
          <w:sz w:val="20"/>
          <w:szCs w:val="20"/>
        </w:rPr>
        <w:t xml:space="preserve">Hypothèse : ouverture Mois 1 avec 15 pièces/jour B2C + B2B existant, montée à 30 pièces/jour au Mois 3, 45+ au Mois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226"/>
      </w:tblGrid>
      <w:tr>
        <w:tc>
          <w:tcPr>
            <w:tcW w:type="dxa" w:w="18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
            </w:r>
          </w:p>
        </w:tc>
        <w:tc>
          <w:tcPr>
            <w:tcW w:type="dxa" w:w="12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M1</w:t>
            </w:r>
          </w:p>
        </w:tc>
        <w:tc>
          <w:tcPr>
            <w:tcW w:type="dxa" w:w="12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M2</w:t>
            </w:r>
          </w:p>
        </w:tc>
        <w:tc>
          <w:tcPr>
            <w:tcW w:type="dxa" w:w="12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M3</w:t>
            </w:r>
          </w:p>
        </w:tc>
        <w:tc>
          <w:tcPr>
            <w:tcW w:type="dxa" w:w="12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M4</w:t>
            </w:r>
          </w:p>
        </w:tc>
        <w:tc>
          <w:tcPr>
            <w:tcW w:type="dxa" w:w="12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M5</w:t>
            </w:r>
          </w:p>
        </w:tc>
        <w:tc>
          <w:tcPr>
            <w:tcW w:type="dxa" w:w="1226"/>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M6</w:t>
            </w:r>
          </w:p>
        </w:tc>
      </w:tr>
      <w:tr>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Pièces/jour</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15</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20</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30</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35</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40</w:t>
            </w:r>
          </w:p>
        </w:tc>
        <w:tc>
          <w:tcPr>
            <w:tcW w:type="dxa" w:w="12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45+</w:t>
            </w:r>
          </w:p>
        </w:tc>
      </w:tr>
      <w:tr>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CA brut</w:t>
            </w:r>
          </w:p>
        </w:tc>
        <w:tc>
          <w:tcPr>
            <w:tcW w:type="dxa" w:w="1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3 120 €</w:t>
            </w:r>
          </w:p>
        </w:tc>
        <w:tc>
          <w:tcPr>
            <w:tcW w:type="dxa" w:w="1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4 160 €</w:t>
            </w:r>
          </w:p>
        </w:tc>
        <w:tc>
          <w:tcPr>
            <w:tcW w:type="dxa" w:w="1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6 240 €</w:t>
            </w:r>
          </w:p>
        </w:tc>
        <w:tc>
          <w:tcPr>
            <w:tcW w:type="dxa" w:w="1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7 280 €</w:t>
            </w:r>
          </w:p>
        </w:tc>
        <w:tc>
          <w:tcPr>
            <w:tcW w:type="dxa" w:w="1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8 320 €</w:t>
            </w:r>
          </w:p>
        </w:tc>
        <w:tc>
          <w:tcPr>
            <w:tcW w:type="dxa" w:w="12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9 360 €+</w:t>
            </w:r>
          </w:p>
        </w:tc>
      </w:tr>
      <w:tr>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Charges</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2 670 €</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2 800 €</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3 100 €</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3 300 €</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3 500 €</w:t>
            </w:r>
          </w:p>
        </w:tc>
        <w:tc>
          <w:tcPr>
            <w:tcW w:type="dxa" w:w="12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3 700 €</w:t>
            </w:r>
          </w:p>
        </w:tc>
      </w:tr>
      <w:tr>
        <w:tc>
          <w:tcPr>
            <w:tcW w:type="dxa" w:w="1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Résultat net</w:t>
            </w:r>
          </w:p>
        </w:tc>
        <w:tc>
          <w:tcPr>
            <w:tcW w:type="dxa" w:w="1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+450 €</w:t>
            </w:r>
          </w:p>
        </w:tc>
        <w:tc>
          <w:tcPr>
            <w:tcW w:type="dxa" w:w="1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+1 360 €</w:t>
            </w:r>
          </w:p>
        </w:tc>
        <w:tc>
          <w:tcPr>
            <w:tcW w:type="dxa" w:w="1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+3 140 €</w:t>
            </w:r>
          </w:p>
        </w:tc>
        <w:tc>
          <w:tcPr>
            <w:tcW w:type="dxa" w:w="1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+3 980 €</w:t>
            </w:r>
          </w:p>
        </w:tc>
        <w:tc>
          <w:tcPr>
            <w:tcW w:type="dxa" w:w="1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+4 820 €</w:t>
            </w:r>
          </w:p>
        </w:tc>
        <w:tc>
          <w:tcPr>
            <w:tcW w:type="dxa" w:w="12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+5 660 €</w:t>
            </w:r>
          </w:p>
        </w:tc>
      </w:tr>
      <w:tr>
        <w:tc>
          <w:tcPr>
            <w:tcW w:type="dxa" w:w="1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Cumul</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+450 €</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+1 810 €</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+4 950 €</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+8 930 €</w:t>
            </w:r>
          </w:p>
        </w:tc>
        <w:tc>
          <w:tcPr>
            <w:tcW w:type="dxa" w:w="1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+13 750 €</w:t>
            </w:r>
          </w:p>
        </w:tc>
        <w:tc>
          <w:tcPr>
            <w:tcW w:type="dxa" w:w="12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+19 410 €</w:t>
            </w:r>
          </w:p>
        </w:tc>
      </w:tr>
    </w:tbl>
    <w:p>
      <w:pPr>
        <w:spacing w:before="80" w:after="80"/>
      </w:pPr>
    </w:p>
    <w:p>
      <w:pPr>
        <w:spacing w:after="120" w:line="320"/>
        <w:jc w:val="both"/>
      </w:pPr>
      <w:r>
        <w:rPr>
          <w:rFonts w:ascii="Arial" w:cs="Arial" w:eastAsia="Arial" w:hAnsi="Arial"/>
          <w:b w:val="false"/>
          <w:bCs w:val="false"/>
          <w:i w:val="false"/>
          <w:iCs w:val="false"/>
          <w:color w:val="2C2824"/>
          <w:sz w:val="20"/>
          <w:szCs w:val="20"/>
        </w:rPr>
        <w:t xml:space="preserve">Note : ce tableau ne compte que le B2C. Le B2B (restaurateurs, hôtels, événements) vient en complément et peut représenter 30-40% de CA supplémentaire. Avec le B2B, le seuil de rentabilité est atteint dès le Mois 1.</w:t>
      </w:r>
    </w:p>
    <w:p>
      <w:pPr>
        <w:pBdr>
          <w:left w:val="single" w:color="A8895C" w:sz="8" w:space="12"/>
        </w:pBdr>
        <w:spacing w:before="200" w:after="200"/>
        <w:ind w:left="400" w:right="400"/>
      </w:pPr>
      <w:r>
        <w:rPr>
          <w:rFonts w:ascii="Arial" w:cs="Arial" w:eastAsia="Arial" w:hAnsi="Arial"/>
          <w:i/>
          <w:iCs/>
          <w:color w:val="1A1714"/>
          <w:sz w:val="20"/>
          <w:szCs w:val="20"/>
        </w:rPr>
        <w:t xml:space="preserve">Retour sur investissement complet en 6 mois. La facilité de paiement sur l’aménagement permet de lancer fort sans mobiliser toute la trésorerie d’un coup.</w:t>
      </w:r>
    </w:p>
    <w:p>
      <w:r>
        <w:br w:type="page"/>
      </w:r>
    </w:p>
    <w:p>
      <w:pPr>
        <w:pStyle w:val="Heading1"/>
        <w:spacing w:before="360" w:after="160"/>
      </w:pPr>
      <w:r>
        <w:rPr>
          <w:rFonts w:ascii="Arial" w:cs="Arial" w:eastAsia="Arial" w:hAnsi="Arial"/>
          <w:b/>
          <w:bCs/>
          <w:color w:val="1A1714"/>
          <w:sz w:val="28"/>
          <w:szCs w:val="28"/>
        </w:rPr>
        <w:t xml:space="preserve">10. PLAN DE LANCEMENT : LES 90 JOURS QUI CHANGENT TOUT</w:t>
      </w:r>
    </w:p>
    <w:p>
      <w:pPr>
        <w:pBdr>
          <w:bottom w:val="single" w:color="A8895C" w:sz="3" w:space="8"/>
        </w:pBdr>
        <w:spacing w:before="200" w:after="200"/>
      </w:pPr>
    </w:p>
    <w:p>
      <w:pPr>
        <w:pStyle w:val="Heading2"/>
        <w:spacing w:before="280" w:after="120"/>
      </w:pPr>
      <w:r>
        <w:rPr>
          <w:rFonts w:ascii="Arial" w:cs="Arial" w:eastAsia="Arial" w:hAnsi="Arial"/>
          <w:b/>
          <w:bCs/>
          <w:color w:val="A8895C"/>
          <w:sz w:val="24"/>
          <w:szCs w:val="24"/>
        </w:rPr>
        <w:t xml:space="preserve">10.1 Avant signature du bail — Vérifications express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Vérification</w:t>
            </w:r>
          </w:p>
        </w:tc>
        <w:tc>
          <w:tcPr>
            <w:tcW w:type="dxa" w:w="32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Résultat attendu</w:t>
            </w:r>
          </w:p>
        </w:tc>
        <w:tc>
          <w:tcPr>
            <w:tcW w:type="dxa" w:w="3026"/>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Si non conforme</w:t>
            </w:r>
          </w:p>
        </w:tc>
      </w:tr>
      <w:tr>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Périmètre du bail</w:t>
            </w:r>
          </w:p>
        </w:tc>
        <w:tc>
          <w:tcPr>
            <w:tcW w:type="dxa" w:w="3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Confirmation écrite RDC ± étage</w:t>
            </w:r>
          </w:p>
        </w:tc>
        <w:tc>
          <w:tcPr>
            <w:tcW w:type="dxa" w:w="30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Adapter le plan</w:t>
            </w:r>
          </w:p>
        </w:tc>
      </w:tr>
      <w:tr>
        <w:tc>
          <w:tcPr>
            <w:tcW w:type="dxa" w:w="2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Autorisation façade noire (PLU + copro)</w:t>
            </w:r>
          </w:p>
        </w:tc>
        <w:tc>
          <w:tcPr>
            <w:tcW w:type="dxa" w:w="3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Accord ou absence d’interdiction</w:t>
            </w:r>
          </w:p>
        </w:tc>
        <w:tc>
          <w:tcPr>
            <w:tcW w:type="dxa" w:w="30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Design alternatif (noir charbon + doré)</w:t>
            </w:r>
          </w:p>
        </w:tc>
      </w:tr>
      <w:tr>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Statut parking</w:t>
            </w:r>
          </w:p>
        </w:tc>
        <w:tc>
          <w:tcPr>
            <w:tcW w:type="dxa" w:w="3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Accès garanti</w:t>
            </w:r>
          </w:p>
        </w:tc>
        <w:tc>
          <w:tcPr>
            <w:tcW w:type="dxa" w:w="30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Reconsidérer si non garanti</w:t>
            </w:r>
          </w:p>
        </w:tc>
      </w:tr>
      <w:tr>
        <w:tc>
          <w:tcPr>
            <w:tcW w:type="dxa" w:w="2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Conformité alimentaire ERP</w:t>
            </w:r>
          </w:p>
        </w:tc>
        <w:tc>
          <w:tcPr>
            <w:tcW w:type="dxa" w:w="3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Compatible ou MAJ &lt; 2K€</w:t>
            </w:r>
          </w:p>
        </w:tc>
        <w:tc>
          <w:tcPr>
            <w:tcW w:type="dxa" w:w="30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Si &gt; 5K€ : abandonner</w:t>
            </w:r>
          </w:p>
        </w:tc>
      </w:tr>
      <w:tr>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Débit électrique</w:t>
            </w:r>
          </w:p>
        </w:tc>
        <w:tc>
          <w:tcPr>
            <w:tcW w:type="dxa" w:w="32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Triphasé ou upgrade possible</w:t>
            </w:r>
          </w:p>
        </w:tc>
        <w:tc>
          <w:tcPr>
            <w:tcW w:type="dxa" w:w="30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Vérifier coût Enedis</w:t>
            </w:r>
          </w:p>
        </w:tc>
      </w:tr>
      <w:tr>
        <w:tc>
          <w:tcPr>
            <w:tcW w:type="dxa" w:w="2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Facilité de paiement</w:t>
            </w:r>
          </w:p>
        </w:tc>
        <w:tc>
          <w:tcPr>
            <w:tcW w:type="dxa" w:w="32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Confirmation conditions écrites</w:t>
            </w:r>
          </w:p>
        </w:tc>
        <w:tc>
          <w:tcPr>
            <w:tcW w:type="dxa" w:w="30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Négocier ou adapter le budget</w:t>
            </w:r>
          </w:p>
        </w:tc>
      </w:tr>
    </w:tbl>
    <w:p>
      <w:pPr>
        <w:spacing w:before="120" w:after="120"/>
      </w:pPr>
    </w:p>
    <w:p>
      <w:pPr>
        <w:pStyle w:val="Heading2"/>
        <w:spacing w:before="280" w:after="120"/>
      </w:pPr>
      <w:r>
        <w:rPr>
          <w:rFonts w:ascii="Arial" w:cs="Arial" w:eastAsia="Arial" w:hAnsi="Arial"/>
          <w:b/>
          <w:bCs/>
          <w:color w:val="A8895C"/>
          <w:sz w:val="24"/>
          <w:szCs w:val="24"/>
        </w:rPr>
        <w:t xml:space="preserve">10.2 Calendrier des 90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226"/>
      </w:tblGrid>
      <w:tr>
        <w:tc>
          <w:tcPr>
            <w:tcW w:type="dxa" w:w="14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Période</w:t>
            </w:r>
          </w:p>
        </w:tc>
        <w:tc>
          <w:tcPr>
            <w:tcW w:type="dxa" w:w="44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Action</w:t>
            </w:r>
          </w:p>
        </w:tc>
        <w:tc>
          <w:tcPr>
            <w:tcW w:type="dxa" w:w="3226"/>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Livrable</w:t>
            </w:r>
          </w:p>
        </w:tc>
      </w:tr>
      <w:tr>
        <w:tc>
          <w:tcPr>
            <w:tcW w:type="dxa" w:w="1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J1-J7</w:t>
            </w:r>
          </w:p>
        </w:tc>
        <w:tc>
          <w:tcPr>
            <w:tcW w:type="dxa" w:w="4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Signature bail + lancement travaux façade</w:t>
            </w:r>
          </w:p>
        </w:tc>
        <w:tc>
          <w:tcPr>
            <w:tcW w:type="dxa" w:w="32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Bail signé, artisans engagés</w:t>
            </w:r>
          </w:p>
        </w:tc>
      </w:tr>
      <w:tr>
        <w:tc>
          <w:tcPr>
            <w:tcW w:type="dxa" w:w="1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J1-J7</w:t>
            </w:r>
          </w:p>
        </w:tc>
        <w:tc>
          <w:tcPr>
            <w:tcW w:type="dxa" w:w="4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Lancement contenu TikTok (timelapse chantier)</w:t>
            </w:r>
          </w:p>
        </w:tc>
        <w:tc>
          <w:tcPr>
            <w:tcW w:type="dxa" w:w="32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Compte activé, premier post</w:t>
            </w:r>
          </w:p>
        </w:tc>
      </w:tr>
      <w:tr>
        <w:tc>
          <w:tcPr>
            <w:tcW w:type="dxa" w:w="1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J7-J30</w:t>
            </w:r>
          </w:p>
        </w:tc>
        <w:tc>
          <w:tcPr>
            <w:tcW w:type="dxa" w:w="4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Travaux aménagement complet</w:t>
            </w:r>
          </w:p>
        </w:tc>
        <w:tc>
          <w:tcPr>
            <w:tcW w:type="dxa" w:w="32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Façade + intérieur + vitrine installée</w:t>
            </w:r>
          </w:p>
        </w:tc>
      </w:tr>
      <w:tr>
        <w:tc>
          <w:tcPr>
            <w:tcW w:type="dxa" w:w="1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J7-J30</w:t>
            </w:r>
          </w:p>
        </w:tc>
        <w:tc>
          <w:tcPr>
            <w:tcW w:type="dxa" w:w="4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Contenu digital quotidien (behind the scenes)</w:t>
            </w:r>
          </w:p>
        </w:tc>
        <w:tc>
          <w:tcPr>
            <w:tcW w:type="dxa" w:w="32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10-15 posts, premiers followers</w:t>
            </w:r>
          </w:p>
        </w:tc>
      </w:tr>
      <w:tr>
        <w:tc>
          <w:tcPr>
            <w:tcW w:type="dxa" w:w="1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J30-J45</w:t>
            </w:r>
          </w:p>
        </w:tc>
        <w:tc>
          <w:tcPr>
            <w:tcW w:type="dxa" w:w="4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Installation équipements + tests production</w:t>
            </w:r>
          </w:p>
        </w:tc>
        <w:tc>
          <w:tcPr>
            <w:tcW w:type="dxa" w:w="32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Boutique opérationnelle</w:t>
            </w:r>
          </w:p>
        </w:tc>
      </w:tr>
      <w:tr>
        <w:tc>
          <w:tcPr>
            <w:tcW w:type="dxa" w:w="1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J30-J45</w:t>
            </w:r>
          </w:p>
        </w:tc>
        <w:tc>
          <w:tcPr>
            <w:tcW w:type="dxa" w:w="4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Teasers produit + révélations trompe-l’œil</w:t>
            </w:r>
          </w:p>
        </w:tc>
        <w:tc>
          <w:tcPr>
            <w:tcW w:type="dxa" w:w="32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Contenu viral, buzz croissant</w:t>
            </w:r>
          </w:p>
        </w:tc>
      </w:tr>
      <w:tr>
        <w:tc>
          <w:tcPr>
            <w:tcW w:type="dxa" w:w="1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J45-J55</w:t>
            </w:r>
          </w:p>
        </w:tc>
        <w:tc>
          <w:tcPr>
            <w:tcW w:type="dxa" w:w="4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Soft opening (invités, influenceurs locaux, B2B)</w:t>
            </w:r>
          </w:p>
        </w:tc>
        <w:tc>
          <w:tcPr>
            <w:tcW w:type="dxa" w:w="32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Premiers retours, ajustements</w:t>
            </w:r>
          </w:p>
        </w:tc>
      </w:tr>
      <w:tr>
        <w:tc>
          <w:tcPr>
            <w:tcW w:type="dxa" w:w="1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J55-J60</w:t>
            </w:r>
          </w:p>
        </w:tc>
        <w:tc>
          <w:tcPr>
            <w:tcW w:type="dxa" w:w="4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Compte à rebours grand opening</w:t>
            </w:r>
          </w:p>
        </w:tc>
        <w:tc>
          <w:tcPr>
            <w:tcW w:type="dxa" w:w="32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Hype maximale</w:t>
            </w:r>
          </w:p>
        </w:tc>
      </w:tr>
      <w:tr>
        <w:tc>
          <w:tcPr>
            <w:tcW w:type="dxa" w:w="1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J60</w:t>
            </w:r>
          </w:p>
        </w:tc>
        <w:tc>
          <w:tcPr>
            <w:tcW w:type="dxa" w:w="4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GRAND OPENING — Événement filmé</w:t>
            </w:r>
          </w:p>
        </w:tc>
        <w:tc>
          <w:tcPr>
            <w:tcW w:type="dxa" w:w="32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Jour J : files d’attente + contenu live</w:t>
            </w:r>
          </w:p>
        </w:tc>
      </w:tr>
      <w:tr>
        <w:tc>
          <w:tcPr>
            <w:tcW w:type="dxa" w:w="1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J60-J90</w:t>
            </w:r>
          </w:p>
        </w:tc>
        <w:tc>
          <w:tcPr>
            <w:tcW w:type="dxa" w:w="4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Croisière : contenu UGC + B2B + Uber Eats</w:t>
            </w:r>
          </w:p>
        </w:tc>
        <w:tc>
          <w:tcPr>
            <w:tcW w:type="dxa" w:w="32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Stabilisation à 30+ pièces/jour</w:t>
            </w:r>
          </w:p>
        </w:tc>
      </w:tr>
    </w:tbl>
    <w:p>
      <w:pPr>
        <w:spacing w:before="120" w:after="120"/>
      </w:pPr>
    </w:p>
    <w:p>
      <w:pPr>
        <w:pStyle w:val="Heading2"/>
        <w:spacing w:before="280" w:after="120"/>
      </w:pPr>
      <w:r>
        <w:rPr>
          <w:rFonts w:ascii="Arial" w:cs="Arial" w:eastAsia="Arial" w:hAnsi="Arial"/>
          <w:b/>
          <w:bCs/>
          <w:color w:val="A8895C"/>
          <w:sz w:val="24"/>
          <w:szCs w:val="24"/>
        </w:rPr>
        <w:t xml:space="preserve">10.3 KPIs de succès à 90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c>
          <w:tcPr>
            <w:tcW w:type="dxa" w:w="34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KPI</w:t>
            </w:r>
          </w:p>
        </w:tc>
        <w:tc>
          <w:tcPr>
            <w:tcW w:type="dxa" w:w="2800"/>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Objectif J+90</w:t>
            </w:r>
          </w:p>
        </w:tc>
        <w:tc>
          <w:tcPr>
            <w:tcW w:type="dxa" w:w="2826"/>
            <w:tcBorders>
              <w:top w:val="single" w:color="E8D5B8" w:sz="1"/>
              <w:left w:val="single" w:color="E8D5B8" w:sz="1"/>
              <w:bottom w:val="single" w:color="E8D5B8" w:sz="1"/>
              <w:right w:val="single" w:color="E8D5B8" w:sz="1"/>
            </w:tcBorders>
            <w:shd w:fill="1A1714" w:val="clear"/>
            <w:tcMar>
              <w:top w:type="dxa" w:w="60"/>
              <w:left w:type="dxa" w:w="100"/>
              <w:bottom w:type="dxa" w:w="60"/>
              <w:right w:type="dxa" w:w="100"/>
            </w:tcMar>
          </w:tcPr>
          <w:p>
            <w:pPr>
              <w:jc w:val="center"/>
            </w:pPr>
            <w:r>
              <w:rPr>
                <w:rFonts w:ascii="Arial" w:cs="Arial" w:eastAsia="Arial" w:hAnsi="Arial"/>
                <w:b/>
                <w:bCs/>
                <w:color w:val="C9AA7C"/>
                <w:sz w:val="16"/>
                <w:szCs w:val="16"/>
              </w:rPr>
              <w:t xml:space="preserve">Stretch goal</w:t>
            </w:r>
          </w:p>
        </w:tc>
      </w:tr>
      <w:tr>
        <w:tc>
          <w:tcPr>
            <w:tcW w:type="dxa" w:w="3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Pièces vendues/jour</w:t>
            </w:r>
          </w:p>
        </w:tc>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30 pcs/jour</w:t>
            </w:r>
          </w:p>
        </w:tc>
        <w:tc>
          <w:tcPr>
            <w:tcW w:type="dxa" w:w="28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45+ pcs/jour</w:t>
            </w:r>
          </w:p>
        </w:tc>
      </w:tr>
      <w:tr>
        <w:tc>
          <w:tcPr>
            <w:tcW w:type="dxa" w:w="3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CA mensuel (B2C + B2B)</w:t>
            </w:r>
          </w:p>
        </w:tc>
        <w:tc>
          <w:tcPr>
            <w:tcW w:type="dxa" w:w="2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7 000 €+</w:t>
            </w:r>
          </w:p>
        </w:tc>
        <w:tc>
          <w:tcPr>
            <w:tcW w:type="dxa" w:w="28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10 000 €+</w:t>
            </w:r>
          </w:p>
        </w:tc>
      </w:tr>
      <w:tr>
        <w:tc>
          <w:tcPr>
            <w:tcW w:type="dxa" w:w="3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Followers TikTok/Instagram</w:t>
            </w:r>
          </w:p>
        </w:tc>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5 000</w:t>
            </w:r>
          </w:p>
        </w:tc>
        <w:tc>
          <w:tcPr>
            <w:tcW w:type="dxa" w:w="28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10 000+</w:t>
            </w:r>
          </w:p>
        </w:tc>
      </w:tr>
      <w:tr>
        <w:tc>
          <w:tcPr>
            <w:tcW w:type="dxa" w:w="3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Note Google</w:t>
            </w:r>
          </w:p>
        </w:tc>
        <w:tc>
          <w:tcPr>
            <w:tcW w:type="dxa" w:w="2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4.8+</w:t>
            </w:r>
          </w:p>
        </w:tc>
        <w:tc>
          <w:tcPr>
            <w:tcW w:type="dxa" w:w="28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4.9+</w:t>
            </w:r>
          </w:p>
        </w:tc>
      </w:tr>
      <w:tr>
        <w:tc>
          <w:tcPr>
            <w:tcW w:type="dxa" w:w="34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Partenaires B2B actifs</w:t>
            </w:r>
          </w:p>
        </w:tc>
        <w:tc>
          <w:tcPr>
            <w:tcW w:type="dxa" w:w="2800"/>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5+</w:t>
            </w:r>
          </w:p>
        </w:tc>
        <w:tc>
          <w:tcPr>
            <w:tcW w:type="dxa" w:w="2826"/>
            <w:tcBorders>
              <w:top w:val="single" w:color="E8D5B8" w:sz="1"/>
              <w:left w:val="single" w:color="E8D5B8" w:sz="1"/>
              <w:bottom w:val="single" w:color="E8D5B8" w:sz="1"/>
              <w:right w:val="single" w:color="E8D5B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10+</w:t>
            </w:r>
          </w:p>
        </w:tc>
      </w:tr>
      <w:tr>
        <w:tc>
          <w:tcPr>
            <w:tcW w:type="dxa" w:w="34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left"/>
            </w:pPr>
            <w:r>
              <w:rPr>
                <w:rFonts w:ascii="Arial" w:cs="Arial" w:eastAsia="Arial" w:hAnsi="Arial"/>
                <w:b/>
                <w:bCs/>
                <w:color w:val="2C2824"/>
                <w:sz w:val="18"/>
                <w:szCs w:val="18"/>
              </w:rPr>
              <w:t xml:space="preserve">Contenu généré par les clients (UGC)</w:t>
            </w:r>
          </w:p>
        </w:tc>
        <w:tc>
          <w:tcPr>
            <w:tcW w:type="dxa" w:w="2800"/>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50+ posts</w:t>
            </w:r>
          </w:p>
        </w:tc>
        <w:tc>
          <w:tcPr>
            <w:tcW w:type="dxa" w:w="2826"/>
            <w:tcBorders>
              <w:top w:val="single" w:color="E8D5B8" w:sz="1"/>
              <w:left w:val="single" w:color="E8D5B8" w:sz="1"/>
              <w:bottom w:val="single" w:color="E8D5B8" w:sz="1"/>
              <w:right w:val="single" w:color="E8D5B8" w:sz="1"/>
            </w:tcBorders>
            <w:shd w:fill="FAF5EF" w:val="clear"/>
            <w:tcMar>
              <w:top w:type="dxa" w:w="60"/>
              <w:left w:type="dxa" w:w="100"/>
              <w:bottom w:type="dxa" w:w="60"/>
              <w:right w:type="dxa" w:w="100"/>
            </w:tcMar>
          </w:tcPr>
          <w:p>
            <w:pPr>
              <w:jc w:val="center"/>
            </w:pPr>
            <w:r>
              <w:rPr>
                <w:rFonts w:ascii="Arial" w:cs="Arial" w:eastAsia="Arial" w:hAnsi="Arial"/>
                <w:b w:val="false"/>
                <w:bCs w:val="false"/>
                <w:color w:val="2C2824"/>
                <w:sz w:val="18"/>
                <w:szCs w:val="18"/>
              </w:rPr>
              <w:t xml:space="preserve">100+ posts</w:t>
            </w:r>
          </w:p>
        </w:tc>
      </w:tr>
    </w:tbl>
    <w:p>
      <w:pPr>
        <w:spacing w:before="80" w:after="80"/>
      </w:pPr>
    </w:p>
    <w:p>
      <w:pPr>
        <w:spacing w:before="160" w:after="160"/>
        <w:jc w:val="center"/>
      </w:pPr>
      <w:r>
        <w:rPr>
          <w:rFonts w:ascii="Georgia" w:cs="Georgia" w:eastAsia="Georgia" w:hAnsi="Georgia"/>
          <w:i/>
          <w:iCs/>
          <w:color w:val="A8895C"/>
          <w:sz w:val="24"/>
          <w:szCs w:val="24"/>
        </w:rPr>
        <w:t xml:space="preserve">« On n’a pas deux chances de faire une première impression. »</w:t>
      </w:r>
    </w:p>
    <w:p>
      <w:pPr>
        <w:spacing w:before="200" w:after="200"/>
      </w:pPr>
    </w:p>
    <w:p>
      <w:pPr>
        <w:pBdr>
          <w:bottom w:val="single" w:color="A8895C" w:sz="3" w:space="8"/>
        </w:pBdr>
        <w:spacing w:before="200" w:after="200"/>
      </w:pPr>
    </w:p>
    <w:p>
      <w:pPr>
        <w:spacing w:before="160" w:after="160"/>
        <w:jc w:val="center"/>
      </w:pPr>
      <w:r>
        <w:rPr>
          <w:rFonts w:ascii="Georgia" w:cs="Georgia" w:eastAsia="Georgia" w:hAnsi="Georgia"/>
          <w:i/>
          <w:iCs/>
          <w:color w:val="A8895C"/>
          <w:sz w:val="24"/>
          <w:szCs w:val="24"/>
        </w:rPr>
        <w:t xml:space="preserve">Ce que vous voyez n’est jamais ce que vous goûtez.</w:t>
      </w:r>
    </w:p>
    <w:p>
      <w:pPr>
        <w:spacing w:before="80" w:after="80"/>
      </w:pPr>
    </w:p>
    <w:p>
      <w:pPr>
        <w:jc w:val="center"/>
      </w:pPr>
      <w:r>
        <w:rPr>
          <w:rFonts w:ascii="Arial" w:cs="Arial" w:eastAsia="Arial" w:hAnsi="Arial"/>
          <w:color w:val="6B6560"/>
          <w:sz w:val="18"/>
          <w:szCs w:val="18"/>
        </w:rPr>
        <w:t xml:space="preserve">MAISON MIRAGE — contact@lamaisonmirage.com — lamaisonmirage.com</w:t>
      </w:r>
    </w:p>
    <w:p>
      <w:pPr>
        <w:jc w:val="center"/>
      </w:pPr>
      <w:r>
        <w:rPr>
          <w:rFonts w:ascii="Arial" w:cs="Arial" w:eastAsia="Arial" w:hAnsi="Arial"/>
          <w:color w:val="6B6560"/>
          <w:sz w:val="16"/>
          <w:szCs w:val="16"/>
        </w:rPr>
        <w:t xml:space="preserve">Document confidentiel — Mars 2026 — Version 3.0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4"/>
        <w:szCs w:val="14"/>
      </w:rPr>
      <w:t xml:space="preserve">Confidentiel — </w:t>
    </w:r>
    <w:r>
      <w:rPr>
        <w:rFonts w:ascii="Arial" w:cs="Arial" w:eastAsia="Arial" w:hAnsi="Arial"/>
        <w:color w:val="6B6560"/>
        <w:sz w:val="14"/>
        <w:szCs w:val="14"/>
      </w:rPr>
      <w:t xml:space="preserve">Page </w:t>
    </w:r>
    <w:r>
      <w:rPr>
        <w:rFonts w:ascii="Arial" w:cs="Arial" w:eastAsia="Arial" w:hAnsi="Arial"/>
        <w:color w:val="6B656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560"/>
        <w:sz w:val="14"/>
        <w:szCs w:val="14"/>
      </w:rPr>
      <w:t xml:space="preserve">MAISON MIRAGE — Dossier d’implantation stratégique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714"/>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A88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4d53165f0b73357ef0cd2fc66a7d1ba43fb051e.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2026-03-14T16:21:13.251Z</dcterms:created>
  <dcterms:modified xsi:type="dcterms:W3CDTF">2026-03-14T16:21:13.251Z</dcterms:modified>
</cp:coreProperties>
</file>

<file path=docProps/custom.xml><?xml version="1.0" encoding="utf-8"?>
<Properties xmlns="http://schemas.openxmlformats.org/officeDocument/2006/custom-properties" xmlns:vt="http://schemas.openxmlformats.org/officeDocument/2006/docPropsVTypes"/>
</file>