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pPr>
      <w:r>
        <w:rPr>
          <w:rFonts w:ascii="Consolas" w:cs="Consolas" w:eastAsia="Consolas" w:hAnsi="Consolas"/>
          <w:color w:val="A8895C"/>
          <w:sz w:val="20"/>
          <w:szCs w:val="20"/>
        </w:rPr>
        <w:t xml:space="preserve">AUDIT 360°</w:t>
      </w:r>
    </w:p>
    <w:p>
      <w:pPr>
        <w:spacing w:after="40"/>
      </w:pPr>
      <w:r>
        <w:rPr>
          <w:rFonts w:ascii="Georgia" w:cs="Georgia" w:eastAsia="Georgia" w:hAnsi="Georgia"/>
          <w:color w:val="1A1714"/>
          <w:sz w:val="72"/>
          <w:szCs w:val="72"/>
        </w:rPr>
        <w:t xml:space="preserve">Maison Mirage</w:t>
      </w:r>
    </w:p>
    <w:p>
      <w:pPr>
        <w:spacing w:after="20"/>
      </w:pPr>
      <w:r>
        <w:rPr>
          <w:rFonts w:ascii="Georgia" w:cs="Georgia" w:eastAsia="Georgia" w:hAnsi="Georgia"/>
          <w:i/>
          <w:iCs/>
          <w:color w:val="C9AA7C"/>
          <w:sz w:val="36"/>
          <w:szCs w:val="36"/>
        </w:rPr>
        <w:t xml:space="preserve">lamaisonmirage.com</w:t>
      </w:r>
    </w:p>
    <w:p>
      <w:pPr>
        <w:pBdr>
          <w:bottom w:val="single" w:color="A8895C" w:sz="6" w:space="16"/>
        </w:pBdr>
        <w:spacing w:after="400"/>
      </w:pPr>
    </w:p>
    <w:p>
      <w:pPr>
        <w:spacing w:after="120" w:line="320"/>
      </w:pPr>
      <w:r>
        <w:rPr>
          <w:rFonts w:ascii="Consolas" w:cs="Consolas" w:eastAsia="Consolas" w:hAnsi="Consolas"/>
          <w:color w:val="6B6560"/>
          <w:sz w:val="18"/>
          <w:szCs w:val="18"/>
        </w:rPr>
        <w:t xml:space="preserve">Design System (UI/UX) · Stratégie Marketing (CRO) · Analyse Technique</w:t>
      </w:r>
    </w:p>
    <w:p>
      <w:pPr>
        <w:spacing w:after="200"/>
      </w:pPr>
    </w:p>
    <w:p>
      <w:pPr>
        <w:spacing w:after="120" w:line="320"/>
      </w:pPr>
      <w:r>
        <w:rPr>
          <w:rFonts w:ascii="Calibri" w:cs="Calibri" w:eastAsia="Calibri" w:hAnsi="Calibri"/>
          <w:b/>
          <w:bCs/>
          <w:color w:val="6B6560"/>
          <w:sz w:val="22"/>
          <w:szCs w:val="22"/>
        </w:rPr>
        <w:t xml:space="preserve">Date : </w:t>
      </w:r>
      <w:r>
        <w:rPr>
          <w:rFonts w:ascii="Calibri" w:cs="Calibri" w:eastAsia="Calibri" w:hAnsi="Calibri"/>
          <w:color w:val="1A1714"/>
          <w:sz w:val="22"/>
          <w:szCs w:val="22"/>
        </w:rPr>
        <w:t xml:space="preserve">11 mars 2026</w:t>
      </w:r>
    </w:p>
    <w:p>
      <w:pPr>
        <w:spacing w:after="120" w:line="320"/>
      </w:pPr>
      <w:r>
        <w:rPr>
          <w:rFonts w:ascii="Calibri" w:cs="Calibri" w:eastAsia="Calibri" w:hAnsi="Calibri"/>
          <w:b/>
          <w:bCs/>
          <w:color w:val="6B6560"/>
          <w:sz w:val="22"/>
          <w:szCs w:val="22"/>
        </w:rPr>
        <w:t xml:space="preserve">Commanditaire : </w:t>
      </w:r>
      <w:r>
        <w:rPr>
          <w:rFonts w:ascii="Calibri" w:cs="Calibri" w:eastAsia="Calibri" w:hAnsi="Calibri"/>
          <w:color w:val="1A1714"/>
          <w:sz w:val="22"/>
          <w:szCs w:val="22"/>
        </w:rPr>
        <w:t xml:space="preserve">Karim Farid</w:t>
      </w:r>
    </w:p>
    <w:p>
      <w:pPr>
        <w:spacing w:after="120" w:line="320"/>
      </w:pPr>
      <w:r>
        <w:rPr>
          <w:rFonts w:ascii="Calibri" w:cs="Calibri" w:eastAsia="Calibri" w:hAnsi="Calibri"/>
          <w:b/>
          <w:bCs/>
          <w:color w:val="6B6560"/>
          <w:sz w:val="22"/>
          <w:szCs w:val="22"/>
        </w:rPr>
        <w:t xml:space="preserve">Analyste : </w:t>
      </w:r>
      <w:r>
        <w:rPr>
          <w:rFonts w:ascii="Calibri" w:cs="Calibri" w:eastAsia="Calibri" w:hAnsi="Calibri"/>
          <w:color w:val="1A1714"/>
          <w:sz w:val="22"/>
          <w:szCs w:val="22"/>
        </w:rPr>
        <w:t xml:space="preserve">Expert Senior Design System &amp; CRO</w:t>
      </w:r>
    </w:p>
    <w:p>
      <w:pPr>
        <w:spacing w:after="120" w:line="320"/>
      </w:pPr>
      <w:r>
        <w:rPr>
          <w:rFonts w:ascii="Calibri" w:cs="Calibri" w:eastAsia="Calibri" w:hAnsi="Calibri"/>
          <w:b/>
          <w:bCs/>
          <w:color w:val="6B6560"/>
          <w:sz w:val="22"/>
          <w:szCs w:val="22"/>
        </w:rPr>
        <w:t xml:space="preserve">Périmètre : </w:t>
      </w:r>
      <w:r>
        <w:rPr>
          <w:rFonts w:ascii="Calibri" w:cs="Calibri" w:eastAsia="Calibri" w:hAnsi="Calibri"/>
          <w:color w:val="1A1714"/>
          <w:sz w:val="22"/>
          <w:szCs w:val="22"/>
        </w:rPr>
        <w:t xml:space="preserve">Homepage, pages produit, CSS, structure HTML, PDF Klépierre, audit précédent</w:t>
      </w:r>
    </w:p>
    <w:p>
      <w:pPr>
        <w:spacing w:after="800"/>
      </w:pPr>
    </w:p>
    <w:p>
      <w:r>
        <w:rPr>
          <w:rFonts w:ascii="Consolas" w:cs="Consolas" w:eastAsia="Consolas" w:hAnsi="Consolas"/>
          <w:i/>
          <w:iCs/>
          <w:color w:val="6B6560"/>
          <w:sz w:val="16"/>
          <w:szCs w:val="16"/>
        </w:rPr>
        <w:t xml:space="preserve">CONFIDENTIEL — Ce document contient des recommandations stratégiques propriétaires.</w:t>
      </w:r>
    </w:p>
    <w:p>
      <w:pPr>
        <w:sectPr>
          <w:pgSz w:w="11906" w:h="16838" w:orient="portrait"/>
          <w:pgMar w:top="1134" w:right="1134" w:bottom="1134" w:left="1134" w:header="708" w:footer="708" w:gutter="0"/>
          <w:pgNumType/>
          <w:docGrid w:linePitch="360"/>
        </w:sectPr>
      </w:pPr>
    </w:p>
    <w:p>
      <w:pPr>
        <w:pBdr>
          <w:bottom w:val="single" w:color="A8895C" w:sz="4" w:space="8"/>
        </w:pBdr>
        <w:spacing w:after="200" w:before="400"/>
      </w:pPr>
      <w:r>
        <w:rPr>
          <w:rFonts w:ascii="Consolas" w:cs="Consolas" w:eastAsia="Consolas" w:hAnsi="Consolas"/>
          <w:b/>
          <w:bCs/>
          <w:color w:val="A8895C"/>
          <w:sz w:val="22"/>
          <w:szCs w:val="22"/>
        </w:rPr>
        <w:t xml:space="preserve">0. </w:t>
      </w:r>
      <w:r>
        <w:rPr>
          <w:rFonts w:ascii="Georgia" w:cs="Georgia" w:eastAsia="Georgia" w:hAnsi="Georgia"/>
          <w:b/>
          <w:bCs/>
          <w:color w:val="1A1714"/>
          <w:sz w:val="30"/>
          <w:szCs w:val="30"/>
        </w:rPr>
        <w:t xml:space="preserve">Synthèse Exécutive</w:t>
      </w:r>
    </w:p>
    <w:p>
      <w:pPr>
        <w:spacing w:after="120" w:line="320"/>
      </w:pPr>
      <w:r>
        <w:rPr>
          <w:rFonts w:ascii="Calibri" w:cs="Calibri" w:eastAsia="Calibri" w:hAnsi="Calibri"/>
          <w:color w:val="1A1714"/>
          <w:sz w:val="22"/>
          <w:szCs w:val="22"/>
        </w:rPr>
        <w:t xml:space="preserve">Maison Mirage possède un produit exceptionnel (pâtisserie trompe-l’œil) et une direction artistique qui rivalise déjà avec les maisons de luxe parisiennes. Le site web reflète un univers de marque fort, cohérent et distinctif. Néanmoins, l’analyse révèle un écart significatif entre la qualité de la direction artistique et l’efficacité commerciale du site.</w:t>
      </w:r>
    </w:p>
    <w:p>
      <w:pPr>
        <w:spacing w:after="120" w:line="320"/>
      </w:pPr>
      <w:r>
        <w:rPr>
          <w:rFonts w:ascii="Calibri" w:cs="Calibri" w:eastAsia="Calibri" w:hAnsi="Calibri"/>
          <w:b/>
          <w:bCs/>
          <w:color w:val="A8895C"/>
          <w:sz w:val="22"/>
          <w:szCs w:val="22"/>
        </w:rPr>
        <w:t xml:space="preserve">Verdict : </w:t>
      </w:r>
      <w:r>
        <w:rPr>
          <w:rFonts w:ascii="Calibri" w:cs="Calibri" w:eastAsia="Calibri" w:hAnsi="Calibri"/>
          <w:color w:val="1A1714"/>
          <w:sz w:val="22"/>
          <w:szCs w:val="22"/>
        </w:rPr>
        <w:t xml:space="preserve">Le site est une vitrine contemplative de très haut niveau qui n’a pas encore été transformée en machine à convertir. Le potentiel est énorme — les fondations sont là, mais plusieurs leviers CRO critiques restent inexploités.</w:t>
      </w:r>
    </w:p>
    <w:p>
      <w:pPr>
        <w:spacing w:after="100"/>
      </w:pPr>
    </w:p>
    <w:p>
      <w:pPr>
        <w:spacing w:after="160" w:before="200"/>
      </w:pPr>
      <w:r>
        <w:rPr>
          <w:rFonts w:ascii="Consolas" w:cs="Consolas" w:eastAsia="Consolas" w:hAnsi="Consolas"/>
          <w:b/>
          <w:bCs/>
          <w:color w:val="A8895C"/>
          <w:sz w:val="20"/>
          <w:szCs w:val="20"/>
        </w:rPr>
        <w:t xml:space="preserve">SCORECARD GLOBAL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301"/>
        <w:gridCol w:w="1927"/>
      </w:tblGrid>
      <w:tr>
        <w:tc>
          <w:tcPr>
            <w:tcW w:type="dxa" w:w="2410"/>
            <w:tcBorders>
              <w:top w:val="none" w:sz="0"/>
              <w:left w:val="none" w:sz="0"/>
              <w:bottom w:val="none" w:sz="0"/>
              <w:right w:val="none" w:sz="0"/>
            </w:tcBorders>
            <w:tcMar>
              <w:top w:type="dxa" w:w="40"/>
              <w:left w:type="dxa" w:w="80"/>
              <w:bottom w:type="dxa" w:w="40"/>
              <w:right w:type="dxa" w:w="80"/>
            </w:tcMar>
          </w:tcPr>
          <w:p>
            <w:r>
              <w:rPr>
                <w:rFonts w:ascii="Consolas" w:cs="Consolas" w:eastAsia="Consolas" w:hAnsi="Consolas"/>
                <w:color w:val="6B6560"/>
                <w:sz w:val="18"/>
                <w:szCs w:val="18"/>
              </w:rPr>
              <w:t xml:space="preserve">Proposition de valeur</w:t>
            </w:r>
          </w:p>
        </w:tc>
        <w:tc>
          <w:tcPr>
            <w:tcW w:type="dxa" w:w="5301"/>
            <w:tcBorders>
              <w:top w:val="none" w:sz="0"/>
              <w:left w:val="none" w:sz="0"/>
              <w:bottom w:val="none" w:sz="0"/>
              <w:right w:val="none" w:sz="0"/>
            </w:tcBorders>
            <w:shd w:fill="F5F0EA" w:val="clear"/>
            <w:tcMar>
              <w:top w:type="dxa" w:w="40"/>
              <w:left w:type="dxa" w:w="80"/>
              <w:bottom w:type="dxa" w:w="40"/>
              <w:right w:type="dxa" w:w="80"/>
            </w:tcMar>
          </w:tcPr>
          <w:p>
            <w:r>
              <w:rPr>
                <w:rFonts w:ascii="Consolas" w:cs="Consolas" w:eastAsia="Consolas" w:hAnsi="Consolas"/>
                <w:color w:val="27AE60"/>
                <w:sz w:val="20"/>
                <w:szCs w:val="20"/>
              </w:rPr>
              <w:t xml:space="preserve">███████░░░ </w:t>
            </w:r>
          </w:p>
        </w:tc>
        <w:tc>
          <w:tcPr>
            <w:tcW w:type="dxa" w:w="1927"/>
            <w:tcBorders>
              <w:top w:val="none" w:sz="0"/>
              <w:left w:val="none" w:sz="0"/>
              <w:bottom w:val="none" w:sz="0"/>
              <w:right w:val="none" w:sz="0"/>
            </w:tcBorders>
            <w:tcMar>
              <w:top w:type="dxa" w:w="40"/>
              <w:left w:type="dxa" w:w="80"/>
              <w:bottom w:type="dxa" w:w="40"/>
              <w:right w:type="dxa" w:w="80"/>
            </w:tcMar>
          </w:tcPr>
          <w:p>
            <w:pPr>
              <w:jc w:val="right"/>
            </w:pPr>
            <w:r>
              <w:rPr>
                <w:rFonts w:ascii="Georgia" w:cs="Georgia" w:eastAsia="Georgia" w:hAnsi="Georgia"/>
                <w:b/>
                <w:bCs/>
                <w:color w:val="27AE60"/>
                <w:sz w:val="24"/>
                <w:szCs w:val="24"/>
              </w:rPr>
              <w:t xml:space="preserve">7/10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301"/>
        <w:gridCol w:w="1927"/>
      </w:tblGrid>
      <w:tr>
        <w:tc>
          <w:tcPr>
            <w:tcW w:type="dxa" w:w="2410"/>
            <w:tcBorders>
              <w:top w:val="none" w:sz="0"/>
              <w:left w:val="none" w:sz="0"/>
              <w:bottom w:val="none" w:sz="0"/>
              <w:right w:val="none" w:sz="0"/>
            </w:tcBorders>
            <w:tcMar>
              <w:top w:type="dxa" w:w="40"/>
              <w:left w:type="dxa" w:w="80"/>
              <w:bottom w:type="dxa" w:w="40"/>
              <w:right w:type="dxa" w:w="80"/>
            </w:tcMar>
          </w:tcPr>
          <w:p>
            <w:r>
              <w:rPr>
                <w:rFonts w:ascii="Consolas" w:cs="Consolas" w:eastAsia="Consolas" w:hAnsi="Consolas"/>
                <w:color w:val="6B6560"/>
                <w:sz w:val="18"/>
                <w:szCs w:val="18"/>
              </w:rPr>
              <w:t xml:space="preserve">UX &amp; Ergonomie</w:t>
            </w:r>
          </w:p>
        </w:tc>
        <w:tc>
          <w:tcPr>
            <w:tcW w:type="dxa" w:w="5301"/>
            <w:tcBorders>
              <w:top w:val="none" w:sz="0"/>
              <w:left w:val="none" w:sz="0"/>
              <w:bottom w:val="none" w:sz="0"/>
              <w:right w:val="none" w:sz="0"/>
            </w:tcBorders>
            <w:shd w:fill="F5F0EA" w:val="clear"/>
            <w:tcMar>
              <w:top w:type="dxa" w:w="40"/>
              <w:left w:type="dxa" w:w="80"/>
              <w:bottom w:type="dxa" w:w="40"/>
              <w:right w:type="dxa" w:w="80"/>
            </w:tcMar>
          </w:tcPr>
          <w:p>
            <w:r>
              <w:rPr>
                <w:rFonts w:ascii="Consolas" w:cs="Consolas" w:eastAsia="Consolas" w:hAnsi="Consolas"/>
                <w:color w:val="E67E22"/>
                <w:sz w:val="20"/>
                <w:szCs w:val="20"/>
              </w:rPr>
              <w:t xml:space="preserve">██████░░░░ </w:t>
            </w:r>
          </w:p>
        </w:tc>
        <w:tc>
          <w:tcPr>
            <w:tcW w:type="dxa" w:w="1927"/>
            <w:tcBorders>
              <w:top w:val="none" w:sz="0"/>
              <w:left w:val="none" w:sz="0"/>
              <w:bottom w:val="none" w:sz="0"/>
              <w:right w:val="none" w:sz="0"/>
            </w:tcBorders>
            <w:tcMar>
              <w:top w:type="dxa" w:w="40"/>
              <w:left w:type="dxa" w:w="80"/>
              <w:bottom w:type="dxa" w:w="40"/>
              <w:right w:type="dxa" w:w="80"/>
            </w:tcMar>
          </w:tcPr>
          <w:p>
            <w:pPr>
              <w:jc w:val="right"/>
            </w:pPr>
            <w:r>
              <w:rPr>
                <w:rFonts w:ascii="Georgia" w:cs="Georgia" w:eastAsia="Georgia" w:hAnsi="Georgia"/>
                <w:b/>
                <w:bCs/>
                <w:color w:val="E67E22"/>
                <w:sz w:val="24"/>
                <w:szCs w:val="24"/>
              </w:rPr>
              <w:t xml:space="preserve">6/10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301"/>
        <w:gridCol w:w="1927"/>
      </w:tblGrid>
      <w:tr>
        <w:tc>
          <w:tcPr>
            <w:tcW w:type="dxa" w:w="2410"/>
            <w:tcBorders>
              <w:top w:val="none" w:sz="0"/>
              <w:left w:val="none" w:sz="0"/>
              <w:bottom w:val="none" w:sz="0"/>
              <w:right w:val="none" w:sz="0"/>
            </w:tcBorders>
            <w:tcMar>
              <w:top w:type="dxa" w:w="40"/>
              <w:left w:type="dxa" w:w="80"/>
              <w:bottom w:type="dxa" w:w="40"/>
              <w:right w:type="dxa" w:w="80"/>
            </w:tcMar>
          </w:tcPr>
          <w:p>
            <w:r>
              <w:rPr>
                <w:rFonts w:ascii="Consolas" w:cs="Consolas" w:eastAsia="Consolas" w:hAnsi="Consolas"/>
                <w:color w:val="6B6560"/>
                <w:sz w:val="18"/>
                <w:szCs w:val="18"/>
              </w:rPr>
              <w:t xml:space="preserve">UI &amp; Branding</w:t>
            </w:r>
          </w:p>
        </w:tc>
        <w:tc>
          <w:tcPr>
            <w:tcW w:type="dxa" w:w="5301"/>
            <w:tcBorders>
              <w:top w:val="none" w:sz="0"/>
              <w:left w:val="none" w:sz="0"/>
              <w:bottom w:val="none" w:sz="0"/>
              <w:right w:val="none" w:sz="0"/>
            </w:tcBorders>
            <w:shd w:fill="F5F0EA" w:val="clear"/>
            <w:tcMar>
              <w:top w:type="dxa" w:w="40"/>
              <w:left w:type="dxa" w:w="80"/>
              <w:bottom w:type="dxa" w:w="40"/>
              <w:right w:type="dxa" w:w="80"/>
            </w:tcMar>
          </w:tcPr>
          <w:p>
            <w:r>
              <w:rPr>
                <w:rFonts w:ascii="Consolas" w:cs="Consolas" w:eastAsia="Consolas" w:hAnsi="Consolas"/>
                <w:color w:val="27AE60"/>
                <w:sz w:val="20"/>
                <w:szCs w:val="20"/>
              </w:rPr>
              <w:t xml:space="preserve">█████████░ </w:t>
            </w:r>
          </w:p>
        </w:tc>
        <w:tc>
          <w:tcPr>
            <w:tcW w:type="dxa" w:w="1927"/>
            <w:tcBorders>
              <w:top w:val="none" w:sz="0"/>
              <w:left w:val="none" w:sz="0"/>
              <w:bottom w:val="none" w:sz="0"/>
              <w:right w:val="none" w:sz="0"/>
            </w:tcBorders>
            <w:tcMar>
              <w:top w:type="dxa" w:w="40"/>
              <w:left w:type="dxa" w:w="80"/>
              <w:bottom w:type="dxa" w:w="40"/>
              <w:right w:type="dxa" w:w="80"/>
            </w:tcMar>
          </w:tcPr>
          <w:p>
            <w:pPr>
              <w:jc w:val="right"/>
            </w:pPr>
            <w:r>
              <w:rPr>
                <w:rFonts w:ascii="Georgia" w:cs="Georgia" w:eastAsia="Georgia" w:hAnsi="Georgia"/>
                <w:b/>
                <w:bCs/>
                <w:color w:val="27AE60"/>
                <w:sz w:val="24"/>
                <w:szCs w:val="24"/>
              </w:rPr>
              <w:t xml:space="preserve">9/10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301"/>
        <w:gridCol w:w="1927"/>
      </w:tblGrid>
      <w:tr>
        <w:tc>
          <w:tcPr>
            <w:tcW w:type="dxa" w:w="2410"/>
            <w:tcBorders>
              <w:top w:val="none" w:sz="0"/>
              <w:left w:val="none" w:sz="0"/>
              <w:bottom w:val="none" w:sz="0"/>
              <w:right w:val="none" w:sz="0"/>
            </w:tcBorders>
            <w:tcMar>
              <w:top w:type="dxa" w:w="40"/>
              <w:left w:type="dxa" w:w="80"/>
              <w:bottom w:type="dxa" w:w="40"/>
              <w:right w:type="dxa" w:w="80"/>
            </w:tcMar>
          </w:tcPr>
          <w:p>
            <w:r>
              <w:rPr>
                <w:rFonts w:ascii="Consolas" w:cs="Consolas" w:eastAsia="Consolas" w:hAnsi="Consolas"/>
                <w:color w:val="6B6560"/>
                <w:sz w:val="18"/>
                <w:szCs w:val="18"/>
              </w:rPr>
              <w:t xml:space="preserve">Marketing &amp; Persuasion</w:t>
            </w:r>
          </w:p>
        </w:tc>
        <w:tc>
          <w:tcPr>
            <w:tcW w:type="dxa" w:w="5301"/>
            <w:tcBorders>
              <w:top w:val="none" w:sz="0"/>
              <w:left w:val="none" w:sz="0"/>
              <w:bottom w:val="none" w:sz="0"/>
              <w:right w:val="none" w:sz="0"/>
            </w:tcBorders>
            <w:shd w:fill="F5F0EA" w:val="clear"/>
            <w:tcMar>
              <w:top w:type="dxa" w:w="40"/>
              <w:left w:type="dxa" w:w="80"/>
              <w:bottom w:type="dxa" w:w="40"/>
              <w:right w:type="dxa" w:w="80"/>
            </w:tcMar>
          </w:tcPr>
          <w:p>
            <w:r>
              <w:rPr>
                <w:rFonts w:ascii="Consolas" w:cs="Consolas" w:eastAsia="Consolas" w:hAnsi="Consolas"/>
                <w:color w:val="E67E22"/>
                <w:sz w:val="20"/>
                <w:szCs w:val="20"/>
              </w:rPr>
              <w:t xml:space="preserve">█████░░░░░ </w:t>
            </w:r>
          </w:p>
        </w:tc>
        <w:tc>
          <w:tcPr>
            <w:tcW w:type="dxa" w:w="1927"/>
            <w:tcBorders>
              <w:top w:val="none" w:sz="0"/>
              <w:left w:val="none" w:sz="0"/>
              <w:bottom w:val="none" w:sz="0"/>
              <w:right w:val="none" w:sz="0"/>
            </w:tcBorders>
            <w:tcMar>
              <w:top w:type="dxa" w:w="40"/>
              <w:left w:type="dxa" w:w="80"/>
              <w:bottom w:type="dxa" w:w="40"/>
              <w:right w:type="dxa" w:w="80"/>
            </w:tcMar>
          </w:tcPr>
          <w:p>
            <w:pPr>
              <w:jc w:val="right"/>
            </w:pPr>
            <w:r>
              <w:rPr>
                <w:rFonts w:ascii="Georgia" w:cs="Georgia" w:eastAsia="Georgia" w:hAnsi="Georgia"/>
                <w:b/>
                <w:bCs/>
                <w:color w:val="E67E22"/>
                <w:sz w:val="24"/>
                <w:szCs w:val="24"/>
              </w:rPr>
              <w:t xml:space="preserve">5/10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301"/>
        <w:gridCol w:w="1927"/>
      </w:tblGrid>
      <w:tr>
        <w:tc>
          <w:tcPr>
            <w:tcW w:type="dxa" w:w="2410"/>
            <w:tcBorders>
              <w:top w:val="none" w:sz="0"/>
              <w:left w:val="none" w:sz="0"/>
              <w:bottom w:val="none" w:sz="0"/>
              <w:right w:val="none" w:sz="0"/>
            </w:tcBorders>
            <w:tcMar>
              <w:top w:type="dxa" w:w="40"/>
              <w:left w:type="dxa" w:w="80"/>
              <w:bottom w:type="dxa" w:w="40"/>
              <w:right w:type="dxa" w:w="80"/>
            </w:tcMar>
          </w:tcPr>
          <w:p>
            <w:r>
              <w:rPr>
                <w:rFonts w:ascii="Consolas" w:cs="Consolas" w:eastAsia="Consolas" w:hAnsi="Consolas"/>
                <w:color w:val="6B6560"/>
                <w:sz w:val="18"/>
                <w:szCs w:val="18"/>
              </w:rPr>
              <w:t xml:space="preserve">Technique &amp; Mobile</w:t>
            </w:r>
          </w:p>
        </w:tc>
        <w:tc>
          <w:tcPr>
            <w:tcW w:type="dxa" w:w="5301"/>
            <w:tcBorders>
              <w:top w:val="none" w:sz="0"/>
              <w:left w:val="none" w:sz="0"/>
              <w:bottom w:val="none" w:sz="0"/>
              <w:right w:val="none" w:sz="0"/>
            </w:tcBorders>
            <w:shd w:fill="F5F0EA" w:val="clear"/>
            <w:tcMar>
              <w:top w:type="dxa" w:w="40"/>
              <w:left w:type="dxa" w:w="80"/>
              <w:bottom w:type="dxa" w:w="40"/>
              <w:right w:type="dxa" w:w="80"/>
            </w:tcMar>
          </w:tcPr>
          <w:p>
            <w:r>
              <w:rPr>
                <w:rFonts w:ascii="Consolas" w:cs="Consolas" w:eastAsia="Consolas" w:hAnsi="Consolas"/>
                <w:color w:val="27AE60"/>
                <w:sz w:val="20"/>
                <w:szCs w:val="20"/>
              </w:rPr>
              <w:t xml:space="preserve">███████░░░ </w:t>
            </w:r>
          </w:p>
        </w:tc>
        <w:tc>
          <w:tcPr>
            <w:tcW w:type="dxa" w:w="1927"/>
            <w:tcBorders>
              <w:top w:val="none" w:sz="0"/>
              <w:left w:val="none" w:sz="0"/>
              <w:bottom w:val="none" w:sz="0"/>
              <w:right w:val="none" w:sz="0"/>
            </w:tcBorders>
            <w:tcMar>
              <w:top w:type="dxa" w:w="40"/>
              <w:left w:type="dxa" w:w="80"/>
              <w:bottom w:type="dxa" w:w="40"/>
              <w:right w:type="dxa" w:w="80"/>
            </w:tcMar>
          </w:tcPr>
          <w:p>
            <w:pPr>
              <w:jc w:val="right"/>
            </w:pPr>
            <w:r>
              <w:rPr>
                <w:rFonts w:ascii="Georgia" w:cs="Georgia" w:eastAsia="Georgia" w:hAnsi="Georgia"/>
                <w:b/>
                <w:bCs/>
                <w:color w:val="27AE60"/>
                <w:sz w:val="24"/>
                <w:szCs w:val="24"/>
              </w:rPr>
              <w:t xml:space="preserve">7/10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301"/>
        <w:gridCol w:w="1927"/>
      </w:tblGrid>
      <w:tr>
        <w:tc>
          <w:tcPr>
            <w:tcW w:type="dxa" w:w="2410"/>
            <w:tcBorders>
              <w:top w:val="none" w:sz="0"/>
              <w:left w:val="none" w:sz="0"/>
              <w:bottom w:val="none" w:sz="0"/>
              <w:right w:val="none" w:sz="0"/>
            </w:tcBorders>
            <w:tcMar>
              <w:top w:type="dxa" w:w="40"/>
              <w:left w:type="dxa" w:w="80"/>
              <w:bottom w:type="dxa" w:w="40"/>
              <w:right w:type="dxa" w:w="80"/>
            </w:tcMar>
          </w:tcPr>
          <w:p>
            <w:r>
              <w:rPr>
                <w:rFonts w:ascii="Consolas" w:cs="Consolas" w:eastAsia="Consolas" w:hAnsi="Consolas"/>
                <w:color w:val="6B6560"/>
                <w:sz w:val="18"/>
                <w:szCs w:val="18"/>
              </w:rPr>
              <w:t xml:space="preserve">Performance CRO</w:t>
            </w:r>
          </w:p>
        </w:tc>
        <w:tc>
          <w:tcPr>
            <w:tcW w:type="dxa" w:w="5301"/>
            <w:tcBorders>
              <w:top w:val="none" w:sz="0"/>
              <w:left w:val="none" w:sz="0"/>
              <w:bottom w:val="none" w:sz="0"/>
              <w:right w:val="none" w:sz="0"/>
            </w:tcBorders>
            <w:shd w:fill="F5F0EA" w:val="clear"/>
            <w:tcMar>
              <w:top w:type="dxa" w:w="40"/>
              <w:left w:type="dxa" w:w="80"/>
              <w:bottom w:type="dxa" w:w="40"/>
              <w:right w:type="dxa" w:w="80"/>
            </w:tcMar>
          </w:tcPr>
          <w:p>
            <w:r>
              <w:rPr>
                <w:rFonts w:ascii="Consolas" w:cs="Consolas" w:eastAsia="Consolas" w:hAnsi="Consolas"/>
                <w:color w:val="C0392B"/>
                <w:sz w:val="20"/>
                <w:szCs w:val="20"/>
              </w:rPr>
              <w:t xml:space="preserve">████░░░░░░ </w:t>
            </w:r>
          </w:p>
        </w:tc>
        <w:tc>
          <w:tcPr>
            <w:tcW w:type="dxa" w:w="1927"/>
            <w:tcBorders>
              <w:top w:val="none" w:sz="0"/>
              <w:left w:val="none" w:sz="0"/>
              <w:bottom w:val="none" w:sz="0"/>
              <w:right w:val="none" w:sz="0"/>
            </w:tcBorders>
            <w:tcMar>
              <w:top w:type="dxa" w:w="40"/>
              <w:left w:type="dxa" w:w="80"/>
              <w:bottom w:type="dxa" w:w="40"/>
              <w:right w:type="dxa" w:w="80"/>
            </w:tcMar>
          </w:tcPr>
          <w:p>
            <w:pPr>
              <w:jc w:val="right"/>
            </w:pPr>
            <w:r>
              <w:rPr>
                <w:rFonts w:ascii="Georgia" w:cs="Georgia" w:eastAsia="Georgia" w:hAnsi="Georgia"/>
                <w:b/>
                <w:bCs/>
                <w:color w:val="C0392B"/>
                <w:sz w:val="24"/>
                <w:szCs w:val="24"/>
              </w:rPr>
              <w:t xml:space="preserve">4/10</w:t>
            </w:r>
          </w:p>
        </w:tc>
      </w:tr>
    </w:tbl>
    <w:p>
      <w:pPr>
        <w:spacing w:after="100"/>
      </w:pPr>
    </w:p>
    <w:p>
      <w:pPr>
        <w:spacing w:after="120" w:line="320"/>
      </w:pPr>
      <w:r>
        <w:rPr>
          <w:rFonts w:ascii="Georgia" w:cs="Georgia" w:eastAsia="Georgia" w:hAnsi="Georgia"/>
          <w:b/>
          <w:bCs/>
          <w:color w:val="E67E22"/>
          <w:sz w:val="28"/>
          <w:szCs w:val="28"/>
        </w:rPr>
        <w:t xml:space="preserve">Score global : 6.3/10</w:t>
      </w:r>
      <w:r>
        <w:rPr>
          <w:rFonts w:ascii="Calibri" w:cs="Calibri" w:eastAsia="Calibri" w:hAnsi="Calibri"/>
          <w:color w:val="6B6560"/>
          <w:sz w:val="20"/>
          <w:szCs w:val="20"/>
        </w:rPr>
        <w:t xml:space="preserve"> — Excellente DA, mais le tunnel de conversion et la psychologie de persuasion sont sous-exploités.</w:t>
      </w:r>
    </w:p>
    <w:p>
      <w:r>
        <w:br w:type="page"/>
      </w:r>
    </w:p>
    <w:p>
      <w:pPr>
        <w:pBdr>
          <w:bottom w:val="single" w:color="A8895C" w:sz="4" w:space="8"/>
        </w:pBdr>
        <w:spacing w:after="200" w:before="400"/>
      </w:pPr>
      <w:r>
        <w:rPr>
          <w:rFonts w:ascii="Consolas" w:cs="Consolas" w:eastAsia="Consolas" w:hAnsi="Consolas"/>
          <w:b/>
          <w:bCs/>
          <w:color w:val="A8895C"/>
          <w:sz w:val="22"/>
          <w:szCs w:val="22"/>
        </w:rPr>
        <w:t xml:space="preserve">1. </w:t>
      </w:r>
      <w:r>
        <w:rPr>
          <w:rFonts w:ascii="Georgia" w:cs="Georgia" w:eastAsia="Georgia" w:hAnsi="Georgia"/>
          <w:b/>
          <w:bCs/>
          <w:color w:val="1A1714"/>
          <w:sz w:val="30"/>
          <w:szCs w:val="30"/>
        </w:rPr>
        <w:t xml:space="preserve">Analyse de la Proposition de Valeur</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Le test des 3 secondes</w:t>
      </w:r>
    </w:p>
    <w:p>
      <w:pPr>
        <w:spacing w:after="120" w:line="320"/>
      </w:pPr>
      <w:r>
        <w:rPr>
          <w:rFonts w:ascii="Calibri" w:cs="Calibri" w:eastAsia="Calibri" w:hAnsi="Calibri"/>
          <w:color w:val="1A1714"/>
          <w:sz w:val="22"/>
          <w:szCs w:val="22"/>
        </w:rPr>
        <w:t xml:space="preserve">La promesse est partiellement claire en 3 secondes. Le titre hero «L’Art de l’Illusion» est poétique et mémorable, mais il ne communique pas immédiatement ce que fait Maison Mirage. Un visiteur froid (trafic payant, SEO) qui atterrit sur la page ne comprend pas en 3 secondes qu’il s’agit de pâtisserie trompe-l’œil livrée aux restaurants.</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Ce qui fonctionne</w:t>
      </w:r>
    </w:p>
    <w:p>
      <w:pPr>
        <w:pStyle w:val="ListParagraph"/>
        <w:numPr>
          <w:ilvl w:val="0"/>
          <w:numId w:val="2"/>
        </w:numPr>
        <w:spacing w:after="80" w:line="300"/>
      </w:pPr>
      <w:r>
        <w:rPr>
          <w:rFonts w:ascii="Calibri" w:cs="Calibri" w:eastAsia="Calibri" w:hAnsi="Calibri"/>
          <w:color w:val="1A1714"/>
          <w:sz w:val="22"/>
          <w:szCs w:val="22"/>
        </w:rPr>
        <w:t xml:space="preserve">Le sous-titre «Le dessert que vos clients filment avant de manger» est excellent : il vend le bénéfice client (virale, contenu gratuit).</w:t>
      </w:r>
    </w:p>
    <w:p>
      <w:pPr>
        <w:pStyle w:val="ListParagraph"/>
        <w:numPr>
          <w:ilvl w:val="0"/>
          <w:numId w:val="2"/>
        </w:numPr>
        <w:spacing w:after="80" w:line="300"/>
      </w:pPr>
      <w:r>
        <w:rPr>
          <w:rFonts w:ascii="Calibri" w:cs="Calibri" w:eastAsia="Calibri" w:hAnsi="Calibri"/>
          <w:color w:val="1A1714"/>
          <w:sz w:val="22"/>
          <w:szCs w:val="22"/>
        </w:rPr>
        <w:t xml:space="preserve">La barre de réassurance «Réponse sous 24h · Dégustation gratuite · Dès 5€/pièce» est un très bon ancrage prix.</w:t>
      </w:r>
    </w:p>
    <w:p>
      <w:pPr>
        <w:pStyle w:val="ListParagraph"/>
        <w:numPr>
          <w:ilvl w:val="0"/>
          <w:numId w:val="2"/>
        </w:numPr>
        <w:spacing w:after="80" w:line="300"/>
      </w:pPr>
      <w:r>
        <w:rPr>
          <w:rFonts w:ascii="Calibri" w:cs="Calibri" w:eastAsia="Calibri" w:hAnsi="Calibri"/>
          <w:color w:val="1A1714"/>
          <w:sz w:val="22"/>
          <w:szCs w:val="22"/>
        </w:rPr>
        <w:t xml:space="preserve">Les KPIs (+30% ticket moyen, 15+ partenaires, 0 chef requis) démontrent une valeur business concrète.</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Ce qui manque</w:t>
      </w:r>
    </w:p>
    <w:p>
      <w:pPr>
        <w:spacing w:after="80" w:before="240"/>
      </w:pPr>
      <w:r>
        <w:rPr>
          <w:rFonts w:ascii="Georgia" w:cs="Georgia" w:eastAsia="Georgia" w:hAnsi="Georgia"/>
          <w:b/>
          <w:bCs/>
          <w:color w:val="1A1714"/>
          <w:sz w:val="22"/>
          <w:szCs w:val="22"/>
        </w:rPr>
        <w:t xml:space="preserve">Le «Mirage» n’est pas communiqué visuellement</w:t>
      </w:r>
      <w:r>
        <w:rPr>
          <w:rFonts w:ascii="Consolas" w:cs="Consolas" w:eastAsia="Consolas" w:hAnsi="Consolas"/>
          <w:b/>
          <w:bCs/>
          <w:color w:val="E67E22"/>
          <w:sz w:val="18"/>
          <w:szCs w:val="18"/>
        </w:rPr>
        <w:t xml:space="preserve"> [HAUTE]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Le nom «Maison Mirage» promet une illusion, un tour de magie visuel. Or, l’expérience de découverte de l’illusion (le moment où on coupe le fruit et qu’on découvre le dessert) n’est pas présentée dans la section above-the-fold. L’image hero montre un flatlay statique — beau, mais qui ne montre pas le «truc». Le visiteur doit scroller jusqu’à la section vidéo pour comprendre le concept.</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Intégrer un micro-GIF ou une vidéo loop (3-5s) dans le hero montrant la découpe d’un fruit trompe-l’œil. C’est le moment de vérité — il doit être above-the-fold. Selon la loi de Jakob (users spend most time on other sites), le visiteur s’attend à comprendre le produit instantanément.</w:t>
      </w:r>
    </w:p>
    <w:p>
      <w:pPr>
        <w:spacing w:after="80" w:before="240"/>
      </w:pPr>
      <w:r>
        <w:rPr>
          <w:rFonts w:ascii="Georgia" w:cs="Georgia" w:eastAsia="Georgia" w:hAnsi="Georgia"/>
          <w:b/>
          <w:bCs/>
          <w:color w:val="1A1714"/>
          <w:sz w:val="22"/>
          <w:szCs w:val="22"/>
        </w:rPr>
        <w:t xml:space="preserve">Ambiguïté de la cible</w:t>
      </w:r>
      <w:r>
        <w:rPr>
          <w:rFonts w:ascii="Consolas" w:cs="Consolas" w:eastAsia="Consolas" w:hAnsi="Consolas"/>
          <w:b/>
          <w:bCs/>
          <w:color w:val="A8895C"/>
          <w:sz w:val="18"/>
          <w:szCs w:val="18"/>
        </w:rPr>
        <w:t xml:space="preserve"> [MOYENNE]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Le hero alterne entre un vocabulaire B2B («dynamiser votre carte», «établissements partenaires») et un vocabulaire B2C («L’Art de l’Illusion»). Le PDF Klépierre indique un projet de kiosque grand public, ce qui suggère une expansion vers le B2C. Le site actuel ne traite pas cette dualité.</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Créer deux parcours clairs dès la homepage : un CTA «Professionnels» et un CTA «Particuliers» si le projet Klépierre se concrétise. Pour l’instant, affirmer plus clairement la cible B2B dans le hero avec une mention type «Fournisseur exclusif de desserts d’exception pour la restauration».</w:t>
      </w:r>
    </w:p>
    <w:p>
      <w:r>
        <w:br w:type="page"/>
      </w:r>
    </w:p>
    <w:p>
      <w:pPr>
        <w:pBdr>
          <w:bottom w:val="single" w:color="A8895C" w:sz="4" w:space="8"/>
        </w:pBdr>
        <w:spacing w:after="200" w:before="400"/>
      </w:pPr>
      <w:r>
        <w:rPr>
          <w:rFonts w:ascii="Consolas" w:cs="Consolas" w:eastAsia="Consolas" w:hAnsi="Consolas"/>
          <w:b/>
          <w:bCs/>
          <w:color w:val="A8895C"/>
          <w:sz w:val="22"/>
          <w:szCs w:val="22"/>
        </w:rPr>
        <w:t xml:space="preserve">2. </w:t>
      </w:r>
      <w:r>
        <w:rPr>
          <w:rFonts w:ascii="Georgia" w:cs="Georgia" w:eastAsia="Georgia" w:hAnsi="Georgia"/>
          <w:b/>
          <w:bCs/>
          <w:color w:val="1A1714"/>
          <w:sz w:val="30"/>
          <w:szCs w:val="30"/>
        </w:rPr>
        <w:t xml:space="preserve">Audit UX &amp; Ergonomie</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Parcours utilisateur (User Journey)</w:t>
      </w:r>
    </w:p>
    <w:p>
      <w:pPr>
        <w:spacing w:after="120" w:line="320"/>
      </w:pPr>
      <w:r>
        <w:rPr>
          <w:rFonts w:ascii="Calibri" w:cs="Calibri" w:eastAsia="Calibri" w:hAnsi="Calibri"/>
          <w:color w:val="1A1714"/>
          <w:sz w:val="22"/>
          <w:szCs w:val="22"/>
        </w:rPr>
        <w:t xml:space="preserve">Le parcours type d’un restaurateur qui arrive sur le site : Hero → KPIs → Vidéo → Témoignages → Catalogue → Engagements → Atelier → Garanties → FAQ → Lead Magnet → CTA Final. C’est un tunnel long (11 sections) mais relativement bien séquencé selon le modèle AIDA (Attention, Intérêt, Désir, Action).</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Points de friction identifiés</w:t>
      </w:r>
    </w:p>
    <w:p>
      <w:pPr>
        <w:spacing w:after="80" w:before="240"/>
      </w:pPr>
      <w:r>
        <w:rPr>
          <w:rFonts w:ascii="Georgia" w:cs="Georgia" w:eastAsia="Georgia" w:hAnsi="Georgia"/>
          <w:b/>
          <w:bCs/>
          <w:color w:val="1A1714"/>
          <w:sz w:val="22"/>
          <w:szCs w:val="22"/>
        </w:rPr>
        <w:t xml:space="preserve">Loi de Hick : trop de CTA concurrents dans le hero</w:t>
      </w:r>
      <w:r>
        <w:rPr>
          <w:rFonts w:ascii="Consolas" w:cs="Consolas" w:eastAsia="Consolas" w:hAnsi="Consolas"/>
          <w:b/>
          <w:bCs/>
          <w:color w:val="A8895C"/>
          <w:sz w:val="18"/>
          <w:szCs w:val="18"/>
        </w:rPr>
        <w:t xml:space="preserve"> [MOYENNE]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Le hero présente simultanément «Demander un devis» ET «Découvrir la collection». Selon la loi de Hick, chaque option supplémentaire augmente le temps de décision. Le CTA «Espace Pro» dans la navbar ajoute un 3ème vecteur d’attention.</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Privilégier un CTA unique dans le hero : «Découvrir la collection» (engagement faible). Le «Demander un devis» devrait apparaître après que le visiteur ait vu les produits (sticky CTA bar ou apparition contextuelle post-scroll).</w:t>
      </w:r>
    </w:p>
    <w:p>
      <w:pPr>
        <w:spacing w:after="80" w:before="240"/>
      </w:pPr>
      <w:r>
        <w:rPr>
          <w:rFonts w:ascii="Georgia" w:cs="Georgia" w:eastAsia="Georgia" w:hAnsi="Georgia"/>
          <w:b/>
          <w:bCs/>
          <w:color w:val="1A1714"/>
          <w:sz w:val="22"/>
          <w:szCs w:val="22"/>
        </w:rPr>
        <w:t xml:space="preserve">Navigation : pas de nav desktop horizontale complète</w:t>
      </w:r>
      <w:r>
        <w:rPr>
          <w:rFonts w:ascii="Consolas" w:cs="Consolas" w:eastAsia="Consolas" w:hAnsi="Consolas"/>
          <w:b/>
          <w:bCs/>
          <w:color w:val="E67E22"/>
          <w:sz w:val="18"/>
          <w:szCs w:val="18"/>
        </w:rPr>
        <w:t xml:space="preserve"> [HAUTE]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La navbar desktop affiche seulement 3 liens (Catalogue, L’Atelier, Événements) et cache l’accès aux témoignages, FAQ, contact. Sur les pages produit, la nav desktop disparaît complètement — seul le burger mobile reste visible. C’est une violation de la loi de Fitts (les cibles de navigation doivent être facilement atteignables).</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Ajouter un lien «Témoignages» dans la nav desktop. Sur les pages produit, afficher les liens desktop (actuellement le composant nav-desktop-links n’est pas inclus dans produit-fraise.html). Ajouter un breadcrumb plus visible (il existe mais est discret).</w:t>
      </w:r>
    </w:p>
    <w:p>
      <w:pPr>
        <w:spacing w:after="80" w:before="240"/>
      </w:pPr>
      <w:r>
        <w:rPr>
          <w:rFonts w:ascii="Georgia" w:cs="Georgia" w:eastAsia="Georgia" w:hAnsi="Georgia"/>
          <w:b/>
          <w:bCs/>
          <w:color w:val="1A1714"/>
          <w:sz w:val="22"/>
          <w:szCs w:val="22"/>
        </w:rPr>
        <w:t xml:space="preserve">Catalogue : pas d’accès direct au panier/devis depuis la grille</w:t>
      </w:r>
      <w:r>
        <w:rPr>
          <w:rFonts w:ascii="Consolas" w:cs="Consolas" w:eastAsia="Consolas" w:hAnsi="Consolas"/>
          <w:b/>
          <w:bCs/>
          <w:color w:val="E67E22"/>
          <w:sz w:val="18"/>
          <w:szCs w:val="18"/>
        </w:rPr>
        <w:t xml:space="preserve"> [HAUTE]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Les cartes produit sont cliquables et mènent vers une page produit dédiée (bien), mais il n’y a aucun moyen de composer un panier/devis rapidement. Un restaurateur pressé qui veut commander 3 références doit naviguer vers la page partenaires, remplir un formulaire générique, et décrire manuellement sa commande.</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Implémenter un micro-configurateur : bouton «Ajouter au devis» sur chaque carte produit, un panier flottant qui accumule les sélections, et un CTA «Envoyer mon devis personnalisé» qui pré-remplit le formulaire. Cela réduit le coût d’interaction (loi de Fitts) et augmente le taux de conversion.</w:t>
      </w:r>
    </w:p>
    <w:p>
      <w:pPr>
        <w:spacing w:after="80" w:before="240"/>
      </w:pPr>
      <w:r>
        <w:rPr>
          <w:rFonts w:ascii="Georgia" w:cs="Georgia" w:eastAsia="Georgia" w:hAnsi="Georgia"/>
          <w:b/>
          <w:bCs/>
          <w:color w:val="1A1714"/>
          <w:sz w:val="22"/>
          <w:szCs w:val="22"/>
        </w:rPr>
        <w:t xml:space="preserve">Chatbot B2B : sous-exploité</w:t>
      </w:r>
      <w:r>
        <w:rPr>
          <w:rFonts w:ascii="Consolas" w:cs="Consolas" w:eastAsia="Consolas" w:hAnsi="Consolas"/>
          <w:b/>
          <w:bCs/>
          <w:color w:val="27AE60"/>
          <w:sz w:val="18"/>
          <w:szCs w:val="18"/>
        </w:rPr>
        <w:t xml:space="preserve"> [BASSE]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Le widget chat est présent mais semble gérer uniquement des quick replies prédéfinies. Il n’est pas contextualisé selon la page (même message sur la homepage, les produits et l’espace pro).</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Contextualiser les messages d’accroche selon la page visitée. Sur une page produit : «Vous souhaitez en savoir plus sur cette création ?». Sur l’espace pro : «Besoin d’un devis personnalisé ?». Sur la homepage : «Quel type d’établissement êtes-vous ?».</w:t>
      </w:r>
    </w:p>
    <w:p>
      <w:r>
        <w:br w:type="page"/>
      </w:r>
    </w:p>
    <w:p>
      <w:pPr>
        <w:pBdr>
          <w:bottom w:val="single" w:color="A8895C" w:sz="4" w:space="8"/>
        </w:pBdr>
        <w:spacing w:after="200" w:before="400"/>
      </w:pPr>
      <w:r>
        <w:rPr>
          <w:rFonts w:ascii="Consolas" w:cs="Consolas" w:eastAsia="Consolas" w:hAnsi="Consolas"/>
          <w:b/>
          <w:bCs/>
          <w:color w:val="A8895C"/>
          <w:sz w:val="22"/>
          <w:szCs w:val="22"/>
        </w:rPr>
        <w:t xml:space="preserve">3. </w:t>
      </w:r>
      <w:r>
        <w:rPr>
          <w:rFonts w:ascii="Georgia" w:cs="Georgia" w:eastAsia="Georgia" w:hAnsi="Georgia"/>
          <w:b/>
          <w:bCs/>
          <w:color w:val="1A1714"/>
          <w:sz w:val="30"/>
          <w:szCs w:val="30"/>
        </w:rPr>
        <w:t xml:space="preserve">Audit UI &amp; Branding</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Hiérarchie visuelle</w:t>
      </w:r>
    </w:p>
    <w:p>
      <w:pPr>
        <w:spacing w:after="120" w:line="320"/>
      </w:pPr>
      <w:r>
        <w:rPr>
          <w:rFonts w:ascii="Calibri" w:cs="Calibri" w:eastAsia="Calibri" w:hAnsi="Calibri"/>
          <w:color w:val="1A1714"/>
          <w:sz w:val="22"/>
          <w:szCs w:val="22"/>
        </w:rPr>
        <w:t xml:space="preserve">La hiérarchie typographique est excellente. Le système à 3 polices (Cormorant Garamond pour les titres, Outfit pour le corps, JetBrains Mono pour les labels techniques) crée un contraste distinctif qui évoque le luxe éditorial. Le ratio de taille entre les niveaux est bien calibré avec des clamp() responsives.</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Palette de couleurs</w:t>
      </w:r>
    </w:p>
    <w:p>
      <w:pPr>
        <w:spacing w:after="120" w:line="320"/>
      </w:pPr>
      <w:r>
        <w:rPr>
          <w:rFonts w:ascii="Calibri" w:cs="Calibri" w:eastAsia="Calibri" w:hAnsi="Calibri"/>
          <w:color w:val="1A1714"/>
          <w:sz w:val="22"/>
          <w:szCs w:val="22"/>
        </w:rPr>
        <w:t xml:space="preserve">La palette crème/or/noir (#FAF5EF, #A8895C, #1A1714) est cohérente avec le positionnement haute pâtisserie. L’usage du doré comme accent chromatique pour les CTA, eyebrows et éléments de réassurance crée un ancrage visuel efficace.</w:t>
      </w:r>
    </w:p>
    <w:p>
      <w:pPr>
        <w:spacing w:after="80" w:before="240"/>
      </w:pPr>
      <w:r>
        <w:rPr>
          <w:rFonts w:ascii="Georgia" w:cs="Georgia" w:eastAsia="Georgia" w:hAnsi="Georgia"/>
          <w:b/>
          <w:bCs/>
          <w:color w:val="1A1714"/>
          <w:sz w:val="22"/>
          <w:szCs w:val="22"/>
        </w:rPr>
        <w:t xml:space="preserve">Contraste de luminance insuffisant sur les micro-textes</w:t>
      </w:r>
      <w:r>
        <w:rPr>
          <w:rFonts w:ascii="Consolas" w:cs="Consolas" w:eastAsia="Consolas" w:hAnsi="Consolas"/>
          <w:b/>
          <w:bCs/>
          <w:color w:val="A8895C"/>
          <w:sz w:val="18"/>
          <w:szCs w:val="18"/>
        </w:rPr>
        <w:t xml:space="preserve"> [MOYENNE]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La font-size des eyebrows (0.58rem ≈ 9.3px) et des labels mono (0.55rem ≈ 8.8px) est en-dessous du seuil de lisibilité WCAG AA (12px minimum pour du texte non-décoratif). Combiné avec la couleur #6B6560 sur fond #FAF5EF, le ratio de contraste est d’environ 3.8:1, légèrement en-dessous du 4.5:1 requis.</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Augmenter les micro-textes à 0.7rem minimum (11.2px). Assombrir --ink-muted à #5A524D pour atteindre un ratio de 4.5:1. Cela améliore l’accessibilité sans compromettre l’esthétique.</w:t>
      </w:r>
    </w:p>
    <w:p>
      <w:pPr>
        <w:spacing w:after="80" w:before="240"/>
      </w:pPr>
      <w:r>
        <w:rPr>
          <w:rFonts w:ascii="Georgia" w:cs="Georgia" w:eastAsia="Georgia" w:hAnsi="Georgia"/>
          <w:b/>
          <w:bCs/>
          <w:color w:val="1A1714"/>
          <w:sz w:val="22"/>
          <w:szCs w:val="22"/>
        </w:rPr>
        <w:t xml:space="preserve">Espaces blancs : la frontière entre luxe et vide</w:t>
      </w:r>
      <w:r>
        <w:rPr>
          <w:rFonts w:ascii="Consolas" w:cs="Consolas" w:eastAsia="Consolas" w:hAnsi="Consolas"/>
          <w:b/>
          <w:bCs/>
          <w:color w:val="E67E22"/>
          <w:sz w:val="18"/>
          <w:szCs w:val="18"/>
        </w:rPr>
        <w:t xml:space="preserve"> [HAUTE]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L’audit précédent identifiait des espaces excessifs. Les paddings ont été réduits (QW2 dans le CSS), mais certaines sections conservent des marges disproportionnées. Sur mobile, la section .philosophy utilise un grid 2 colonnes qui compresse mal, et la section .atelier-steps-outer utilise un scroll horizontal qui crée un décalage visuel.</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Appliquer le principe du rythme vertical (vertical rhythm) : définir un module de base (ex: 8px) et s’y tenir. Actuellement les spacings varient de 2rem à 8rem sans logique modulaire.</w:t>
      </w:r>
    </w:p>
    <w:p>
      <w:pPr>
        <w:spacing w:after="80" w:before="240"/>
      </w:pPr>
      <w:r>
        <w:rPr>
          <w:rFonts w:ascii="Georgia" w:cs="Georgia" w:eastAsia="Georgia" w:hAnsi="Georgia"/>
          <w:b/>
          <w:bCs/>
          <w:color w:val="1A1714"/>
          <w:sz w:val="22"/>
          <w:szCs w:val="22"/>
        </w:rPr>
        <w:t xml:space="preserve">Le design évoque-t-il le luxe ?</w:t>
      </w:r>
      <w:r>
        <w:rPr>
          <w:rFonts w:ascii="Consolas" w:cs="Consolas" w:eastAsia="Consolas" w:hAnsi="Consolas"/>
          <w:b/>
          <w:bCs/>
          <w:color w:val="6B6560"/>
          <w:sz w:val="18"/>
          <w:szCs w:val="18"/>
        </w:rPr>
        <w:t xml:space="preserve"> [N/A]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Oui, sans équivoque. Le grain texture overlay, le backdrop-filter blur sur la navbar, les transitions cubic-bezier (ease-spring), les border-radius généreux (2.5rem), l’overlay reel TikTok style — tout cela compose un univers premium cohérent. Le PDF d’implantation Klépierre renforce cette perception avec la métaphore «un écrin digne d’une bijouterie».</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Continuer dans cette direction. Points d’amélioration mineurs : ajouter des micro-animations (Lottie) pour les icônes de garantie, et utiliser un fond légèrement plus chaud (#F8F2EA) pour les cards testimonials afin de créer plus de profondeur par contraste.</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Cohérence cross-page</w:t>
      </w:r>
    </w:p>
    <w:p>
      <w:pPr>
        <w:spacing w:after="120" w:line="320"/>
      </w:pPr>
      <w:r>
        <w:rPr>
          <w:rFonts w:ascii="Calibri" w:cs="Calibri" w:eastAsia="Calibri" w:hAnsi="Calibri"/>
          <w:color w:val="1A1714"/>
          <w:sz w:val="22"/>
          <w:szCs w:val="22"/>
        </w:rPr>
        <w:t xml:space="preserve">La navbar sur les pages produit perd la navigation desktop (nav-desktop-links absent du HTML). Le breadcrumb est implémenté mais discret. Le design system est bien structuré via CSS custom properties (:root), ce qui facilite la maintenance et l’évolution.</w:t>
      </w:r>
    </w:p>
    <w:p>
      <w:r>
        <w:br w:type="page"/>
      </w:r>
    </w:p>
    <w:p>
      <w:pPr>
        <w:pBdr>
          <w:bottom w:val="single" w:color="A8895C" w:sz="4" w:space="8"/>
        </w:pBdr>
        <w:spacing w:after="200" w:before="400"/>
      </w:pPr>
      <w:r>
        <w:rPr>
          <w:rFonts w:ascii="Consolas" w:cs="Consolas" w:eastAsia="Consolas" w:hAnsi="Consolas"/>
          <w:b/>
          <w:bCs/>
          <w:color w:val="A8895C"/>
          <w:sz w:val="22"/>
          <w:szCs w:val="22"/>
        </w:rPr>
        <w:t xml:space="preserve">4. </w:t>
      </w:r>
      <w:r>
        <w:rPr>
          <w:rFonts w:ascii="Georgia" w:cs="Georgia" w:eastAsia="Georgia" w:hAnsi="Georgia"/>
          <w:b/>
          <w:bCs/>
          <w:color w:val="1A1714"/>
          <w:sz w:val="30"/>
          <w:szCs w:val="30"/>
        </w:rPr>
        <w:t xml:space="preserve">Audit Marketing &amp; Psychologie de Persuasion</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Preuves sociales</w:t>
      </w:r>
    </w:p>
    <w:p>
      <w:pPr>
        <w:spacing w:after="120" w:line="320"/>
      </w:pPr>
      <w:r>
        <w:rPr>
          <w:rFonts w:ascii="Calibri" w:cs="Calibri" w:eastAsia="Calibri" w:hAnsi="Calibri"/>
          <w:color w:val="1A1714"/>
          <w:sz w:val="22"/>
          <w:szCs w:val="22"/>
        </w:rPr>
        <w:t xml:space="preserve">Le site a progressé depuis l’audit précédent : 3 témoignages avec métriques business (+45% contenu Instagram, +30% ticket dessert, «rentable dès le 1er mois») et 7 logos partenaires. C’est un bon début, mais insuffisant pour un positionnement premium.</w:t>
      </w:r>
    </w:p>
    <w:p>
      <w:pPr>
        <w:spacing w:after="80" w:before="240"/>
      </w:pPr>
      <w:r>
        <w:rPr>
          <w:rFonts w:ascii="Georgia" w:cs="Georgia" w:eastAsia="Georgia" w:hAnsi="Georgia"/>
          <w:b/>
          <w:bCs/>
          <w:color w:val="1A1714"/>
          <w:sz w:val="22"/>
          <w:szCs w:val="22"/>
        </w:rPr>
        <w:t xml:space="preserve">Preuve sociale incomplète : absence d’autorité</w:t>
      </w:r>
      <w:r>
        <w:rPr>
          <w:rFonts w:ascii="Consolas" w:cs="Consolas" w:eastAsia="Consolas" w:hAnsi="Consolas"/>
          <w:b/>
          <w:bCs/>
          <w:color w:val="C0392B"/>
          <w:sz w:val="18"/>
          <w:szCs w:val="18"/>
        </w:rPr>
        <w:t xml:space="preserve"> [CRITIQUE]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Il n’y a aucune mention média, presse, influenceur, ou récompense. Pour une marque jeune (2024), l’autorité externe est le levier de persuasion le plus puissant (principe de Cialdini). Le PDF Klépierre mentionne Hamza HAMDI comme chef pâtissier &amp; co-fondateur, mais le site ne montre aucun visage humain derrière la marque.</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Ajouter une section «Ils parlent de nous» même avec 2-3 mentions (blog food, article local, influenceur TikTok). Créer une page «Notre Histoire» avec le portrait de Hamza HAMDI, son parcours et sa vision. Les marques de luxe artisanales qui réussissent misent toutes sur cette dimension humaine — c’est le principe de «likability» de Cialdini.</w:t>
      </w:r>
    </w:p>
    <w:p>
      <w:pPr>
        <w:spacing w:after="80" w:before="240"/>
      </w:pPr>
      <w:r>
        <w:rPr>
          <w:rFonts w:ascii="Georgia" w:cs="Georgia" w:eastAsia="Georgia" w:hAnsi="Georgia"/>
          <w:b/>
          <w:bCs/>
          <w:color w:val="1A1714"/>
          <w:sz w:val="22"/>
          <w:szCs w:val="22"/>
        </w:rPr>
        <w:t xml:space="preserve">Rareté et urgence : leviers absents</w:t>
      </w:r>
      <w:r>
        <w:rPr>
          <w:rFonts w:ascii="Consolas" w:cs="Consolas" w:eastAsia="Consolas" w:hAnsi="Consolas"/>
          <w:b/>
          <w:bCs/>
          <w:color w:val="E67E22"/>
          <w:sz w:val="18"/>
          <w:szCs w:val="18"/>
        </w:rPr>
        <w:t xml:space="preserve"> [HAUTE]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Aucun élément de rareté sur le site. Les 9 produits sont toujours disponibles, sans mention de série limitée, saisonnalité ou exclusivité. Le mot «Mirage» évoque l’éphémère, le fugace — c’est une opportunité de branding non exploitée.</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Créer des «collections éphémères» saisonnières (3-4 par an) avec un countdown timer et un badge «Édition limitée». Cela crée un motif de revisite, un levier de rareté (Cialdini), et un contenu social naturel.</w:t>
      </w:r>
    </w:p>
    <w:p>
      <w:pPr>
        <w:spacing w:after="80" w:before="240"/>
      </w:pPr>
      <w:r>
        <w:rPr>
          <w:rFonts w:ascii="Georgia" w:cs="Georgia" w:eastAsia="Georgia" w:hAnsi="Georgia"/>
          <w:b/>
          <w:bCs/>
          <w:color w:val="1A1714"/>
          <w:sz w:val="22"/>
          <w:szCs w:val="22"/>
        </w:rPr>
        <w:t xml:space="preserve">Réassurance : bonne mais mal placée</w:t>
      </w:r>
      <w:r>
        <w:rPr>
          <w:rFonts w:ascii="Consolas" w:cs="Consolas" w:eastAsia="Consolas" w:hAnsi="Consolas"/>
          <w:b/>
          <w:bCs/>
          <w:color w:val="A8895C"/>
          <w:sz w:val="18"/>
          <w:szCs w:val="18"/>
        </w:rPr>
        <w:t xml:space="preserve"> [MOYENNE]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Le bloc de 4 garanties (dégustation gratuite, réponse 24h, livraison chambre froide, remplacement garanti) est excellent en contenu mais placé trop bas dans le funnel (après l’atelier teaser). L’utilisateur devrait voir ces éléments AVANT de prendre la décision de remplir un formulaire.</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Dupliquer les garanties clés en version compacte (icône + 1 mot) immédiatement sous le hero ou dans la navbar en sticky. Par exemple : un bandeau «🛡️ Dégustation gratuite · ⏰ Réponse 24h · 🚚 Livraison 6j/7».</w:t>
      </w:r>
    </w:p>
    <w:p>
      <w:pPr>
        <w:spacing w:after="80" w:before="240"/>
      </w:pPr>
      <w:r>
        <w:rPr>
          <w:rFonts w:ascii="Georgia" w:cs="Georgia" w:eastAsia="Georgia" w:hAnsi="Georgia"/>
          <w:b/>
          <w:bCs/>
          <w:color w:val="1A1714"/>
          <w:sz w:val="22"/>
          <w:szCs w:val="22"/>
        </w:rPr>
        <w:t xml:space="preserve">Désirabilité : le «wow factor» est enterré</w:t>
      </w:r>
      <w:r>
        <w:rPr>
          <w:rFonts w:ascii="Consolas" w:cs="Consolas" w:eastAsia="Consolas" w:hAnsi="Consolas"/>
          <w:b/>
          <w:bCs/>
          <w:color w:val="C0392B"/>
          <w:sz w:val="18"/>
          <w:szCs w:val="18"/>
        </w:rPr>
        <w:t xml:space="preserve"> [CRITIQUE]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La vidéo de découpe (section «Le moment de vérité») est LE moment de persuasion ultime. C’est là que le cerveau reptilien du prospect dit «je veux ça». Or, ce moment est placé en 3ème position dans la page, après les KPIs. Un overlay style Reels avec faux compteurs (4.8k likes, 312 commentaires) est un bon touch, mais les chiffres ne sont pas réels.</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Placer la vidéo ou un GIF de découpe dans le hero, above-the-fold. Si les compteurs sociaux ne sont pas réels, les retirer : ils risquent de créer un effet de méfiance si le prospect les vérifie. Remplacer par un vrai embed TikTok/Instagram avec les vraies métriques.</w:t>
      </w:r>
    </w:p>
    <w:p>
      <w:r>
        <w:br w:type="page"/>
      </w:r>
    </w:p>
    <w:p>
      <w:pPr>
        <w:pBdr>
          <w:bottom w:val="single" w:color="A8895C" w:sz="4" w:space="8"/>
        </w:pBdr>
        <w:spacing w:after="200" w:before="400"/>
      </w:pPr>
      <w:r>
        <w:rPr>
          <w:rFonts w:ascii="Consolas" w:cs="Consolas" w:eastAsia="Consolas" w:hAnsi="Consolas"/>
          <w:b/>
          <w:bCs/>
          <w:color w:val="A8895C"/>
          <w:sz w:val="22"/>
          <w:szCs w:val="22"/>
        </w:rPr>
        <w:t xml:space="preserve">5. </w:t>
      </w:r>
      <w:r>
        <w:rPr>
          <w:rFonts w:ascii="Georgia" w:cs="Georgia" w:eastAsia="Georgia" w:hAnsi="Georgia"/>
          <w:b/>
          <w:bCs/>
          <w:color w:val="1A1714"/>
          <w:sz w:val="30"/>
          <w:szCs w:val="30"/>
        </w:rPr>
        <w:t xml:space="preserve">Analyse Technique &amp; Mobile</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Architecture CSS</w:t>
      </w:r>
    </w:p>
    <w:p>
      <w:pPr>
        <w:spacing w:after="120" w:line="320"/>
      </w:pPr>
      <w:r>
        <w:rPr>
          <w:rFonts w:ascii="Calibri" w:cs="Calibri" w:eastAsia="Calibri" w:hAnsi="Calibri"/>
          <w:color w:val="1A1714"/>
          <w:sz w:val="22"/>
          <w:szCs w:val="22"/>
        </w:rPr>
        <w:t xml:space="preserve">Le design system est bien structuré : tokens CSS dans :root, naming conventions cohérentes, séparation styles.css (shared) / homepage.css (spécifique) / produit.css (pages produit). Les animations utilisent GSAP avec ScrollTrigger, ce qui garantit de bonnes performances.</w:t>
      </w:r>
    </w:p>
    <w:p>
      <w:pPr>
        <w:spacing w:after="80" w:before="240"/>
      </w:pPr>
      <w:r>
        <w:rPr>
          <w:rFonts w:ascii="Georgia" w:cs="Georgia" w:eastAsia="Georgia" w:hAnsi="Georgia"/>
          <w:b/>
          <w:bCs/>
          <w:color w:val="1A1714"/>
          <w:sz w:val="22"/>
          <w:szCs w:val="22"/>
        </w:rPr>
        <w:t xml:space="preserve">Poids des fichiers CSS</w:t>
      </w:r>
      <w:r>
        <w:rPr>
          <w:rFonts w:ascii="Consolas" w:cs="Consolas" w:eastAsia="Consolas" w:hAnsi="Consolas"/>
          <w:b/>
          <w:bCs/>
          <w:color w:val="A8895C"/>
          <w:sz w:val="18"/>
          <w:szCs w:val="18"/>
        </w:rPr>
        <w:t xml:space="preserve"> [MOYENNE]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styles.css fait 70KB et homepage.css 18KB soit ~88KB de CSS pour une seule page. Beaucoup de règles sont dupliquées ou spécifiques à des composants non utilisés sur certaines pages (ex: .form-grid, .custom-select sur la homepage). Certaines règles utilisent !important (shop-grid) ce qui indique des conflits de spécificité.</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Auditer le CSS avec PurgeCSS pour identifier le dead code. Scinder en modules (nav.css, hero.css, shop.css, forms.css) et ne charger que ce qui est nécessaire par page. Éliminer les !important en corrigeant la spécificité des sélecteurs.</w:t>
      </w:r>
    </w:p>
    <w:p>
      <w:pPr>
        <w:spacing w:after="80" w:before="240"/>
      </w:pPr>
      <w:r>
        <w:rPr>
          <w:rFonts w:ascii="Georgia" w:cs="Georgia" w:eastAsia="Georgia" w:hAnsi="Georgia"/>
          <w:b/>
          <w:bCs/>
          <w:color w:val="1A1714"/>
          <w:sz w:val="22"/>
          <w:szCs w:val="22"/>
        </w:rPr>
        <w:t xml:space="preserve">Performance JavaScript</w:t>
      </w:r>
      <w:r>
        <w:rPr>
          <w:rFonts w:ascii="Consolas" w:cs="Consolas" w:eastAsia="Consolas" w:hAnsi="Consolas"/>
          <w:b/>
          <w:bCs/>
          <w:color w:val="27AE60"/>
          <w:sz w:val="18"/>
          <w:szCs w:val="18"/>
        </w:rPr>
        <w:t xml:space="preserve"> [BASSE]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GSAP (gsap.min.js + ScrollTrigger) est chargé en defer, ce qui est correct. Le JS inline (~40KB) dans index.html gère le chatbot, les modales, les animations, les filtres. C’est un monolithe qui pourrait être décomposé.</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Externaliser le JS dans un fichier main.js minué. Lazy-loader le chatbot et la modale produit (pas nécessaires au premier rendu). Implémenter le pattern Interaction to Next Paint (INP) pour améliorer les Core Web Vitals.</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Responsive &amp; Mobile</w:t>
      </w:r>
    </w:p>
    <w:p>
      <w:pPr>
        <w:spacing w:after="80" w:before="240"/>
      </w:pPr>
      <w:r>
        <w:rPr>
          <w:rFonts w:ascii="Georgia" w:cs="Georgia" w:eastAsia="Georgia" w:hAnsi="Georgia"/>
          <w:b/>
          <w:bCs/>
          <w:color w:val="1A1714"/>
          <w:sz w:val="22"/>
          <w:szCs w:val="22"/>
        </w:rPr>
        <w:t xml:space="preserve">Breakpoints et adaptation mobile</w:t>
      </w:r>
      <w:r>
        <w:rPr>
          <w:rFonts w:ascii="Consolas" w:cs="Consolas" w:eastAsia="Consolas" w:hAnsi="Consolas"/>
          <w:b/>
          <w:bCs/>
          <w:color w:val="E67E22"/>
          <w:sz w:val="18"/>
          <w:szCs w:val="18"/>
        </w:rPr>
        <w:t xml:space="preserve"> [HAUTE]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Le responsive est globalement fonctionnel mais présente des problèmes spécifiques : la grille boutique-header (grid 2 colonnes) ne passe pas en 1 colonne sur tablette (&lt;1024px mais &gt;768px), la section .philosophy (grid 2 colonnes avec visual de 520px) se compresse mal sur tablette, le chatbot widget peut chevaucher les CTA sur mobile (position fixed bottom-right).</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Ajouter un breakpoint intermédiaire à 1024px pour les grids 2-colonnes. Tester systématiquement sur iPhone SE (375px), iPhone 14 (390px), iPad Mini (768px) et iPad Pro (1024px). Déplacer le chatbot en dessous du fold sur mobile.</w:t>
      </w:r>
    </w:p>
    <w:p>
      <w:pPr>
        <w:spacing w:after="80" w:before="240"/>
      </w:pPr>
      <w:r>
        <w:rPr>
          <w:rFonts w:ascii="Georgia" w:cs="Georgia" w:eastAsia="Georgia" w:hAnsi="Georgia"/>
          <w:b/>
          <w:bCs/>
          <w:color w:val="1A1714"/>
          <w:sz w:val="22"/>
          <w:szCs w:val="22"/>
        </w:rPr>
        <w:t xml:space="preserve">Accessibilité (a11y)</w:t>
      </w:r>
      <w:r>
        <w:rPr>
          <w:rFonts w:ascii="Consolas" w:cs="Consolas" w:eastAsia="Consolas" w:hAnsi="Consolas"/>
          <w:b/>
          <w:bCs/>
          <w:color w:val="A8895C"/>
          <w:sz w:val="18"/>
          <w:szCs w:val="18"/>
        </w:rPr>
        <w:t xml:space="preserve"> [MOYENNE] </w:t>
      </w:r>
    </w:p>
    <w:p>
      <w:pPr>
        <w:spacing w:after="120" w:line="320"/>
      </w:pPr>
      <w:r>
        <w:rPr>
          <w:rFonts w:ascii="Calibri" w:cs="Calibri" w:eastAsia="Calibri" w:hAnsi="Calibri"/>
          <w:b/>
          <w:bCs/>
          <w:color w:val="6B6560"/>
          <w:sz w:val="22"/>
          <w:szCs w:val="22"/>
        </w:rPr>
        <w:t xml:space="preserve">Constat : </w:t>
      </w:r>
      <w:r>
        <w:rPr>
          <w:rFonts w:ascii="Calibri" w:cs="Calibri" w:eastAsia="Calibri" w:hAnsi="Calibri"/>
          <w:color w:val="1A1714"/>
          <w:sz w:val="22"/>
          <w:szCs w:val="22"/>
        </w:rPr>
        <w:t xml:space="preserve">Bons points : skip-to-content link, aria-labels sur les boutons, aria-expanded sur le burger, noscript fallback pour les animations. Points faibles : pas de focus-visible custom, les couleurs or sur crème ne passent pas les ratios WCAG sur les petits textes, les images des témoignages n’ont pas d’alt descriptifs (les logos partenaires servent d’avatars).</w:t>
      </w:r>
    </w:p>
    <w:p>
      <w:pPr>
        <w:spacing w:after="120" w:line="320"/>
      </w:pPr>
      <w:r>
        <w:rPr>
          <w:rFonts w:ascii="Calibri" w:cs="Calibri" w:eastAsia="Calibri" w:hAnsi="Calibri"/>
          <w:b/>
          <w:bCs/>
          <w:color w:val="A8895C"/>
          <w:sz w:val="22"/>
          <w:szCs w:val="22"/>
        </w:rPr>
        <w:t xml:space="preserve">Recommandation : </w:t>
      </w:r>
      <w:r>
        <w:rPr>
          <w:rFonts w:ascii="Calibri" w:cs="Calibri" w:eastAsia="Calibri" w:hAnsi="Calibri"/>
          <w:color w:val="1A1714"/>
          <w:sz w:val="22"/>
          <w:szCs w:val="22"/>
        </w:rPr>
        <w:t xml:space="preserve">Ajouter un :focus-visible custom avec un outline doré de 2px. Vérifier tous les ratios de contraste avec un outil comme axe-core. Ajouter des alt textes descriptifs aux images d’avatars.</w:t>
      </w:r>
    </w:p>
    <w:p>
      <w:r>
        <w:br w:type="page"/>
      </w:r>
    </w:p>
    <w:p>
      <w:pPr>
        <w:pBdr>
          <w:bottom w:val="single" w:color="A8895C" w:sz="4" w:space="8"/>
        </w:pBdr>
        <w:spacing w:after="200" w:before="400"/>
      </w:pPr>
      <w:r>
        <w:rPr>
          <w:rFonts w:ascii="Consolas" w:cs="Consolas" w:eastAsia="Consolas" w:hAnsi="Consolas"/>
          <w:b/>
          <w:bCs/>
          <w:color w:val="A8895C"/>
          <w:sz w:val="22"/>
          <w:szCs w:val="22"/>
        </w:rPr>
        <w:t xml:space="preserve">6. </w:t>
      </w:r>
      <w:r>
        <w:rPr>
          <w:rFonts w:ascii="Georgia" w:cs="Georgia" w:eastAsia="Georgia" w:hAnsi="Georgia"/>
          <w:b/>
          <w:bCs/>
          <w:color w:val="1A1714"/>
          <w:sz w:val="30"/>
          <w:szCs w:val="30"/>
        </w:rPr>
        <w:t xml:space="preserve">Quick Wins &amp; Roadmap Stratégique</w:t>
      </w: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5 Actions immédiates à fort impact (Quick Wins)</w:t>
      </w:r>
    </w:p>
    <w:p>
      <w:pPr>
        <w:pStyle w:val="ListParagraph"/>
        <w:numPr>
          <w:ilvl w:val="0"/>
          <w:numId w:val="3"/>
        </w:numPr>
        <w:spacing w:after="120" w:line="320"/>
      </w:pPr>
      <w:r>
        <w:rPr>
          <w:rFonts w:ascii="Calibri" w:cs="Calibri" w:eastAsia="Calibri" w:hAnsi="Calibri"/>
          <w:b/>
          <w:bCs/>
          <w:sz w:val="22"/>
          <w:szCs w:val="22"/>
        </w:rPr>
        <w:t xml:space="preserve">Vidéo dans le Hero above-the-fold</w:t>
      </w:r>
      <w:r>
        <w:rPr>
          <w:rFonts w:ascii="Calibri" w:cs="Calibri" w:eastAsia="Calibri" w:hAnsi="Calibri"/>
          <w:sz w:val="22"/>
          <w:szCs w:val="22"/>
        </w:rPr>
        <w:t xml:space="preserve"> — Remplacer l’image flatlay statique par un GIF/vidéo loop de 3-5s montrant la découpe d’un fruit trompe-l’œil. Impact : +20-35% de temps passé sur la page, compréhension immédiate du concept. Effort : 2h de dév + assets existants.</w:t>
      </w:r>
    </w:p>
    <w:p>
      <w:pPr>
        <w:pStyle w:val="ListParagraph"/>
        <w:numPr>
          <w:ilvl w:val="0"/>
          <w:numId w:val="3"/>
        </w:numPr>
        <w:spacing w:after="120" w:line="320"/>
      </w:pPr>
      <w:r>
        <w:rPr>
          <w:rFonts w:ascii="Calibri" w:cs="Calibri" w:eastAsia="Calibri" w:hAnsi="Calibri"/>
          <w:b/>
          <w:bCs/>
          <w:sz w:val="22"/>
          <w:szCs w:val="22"/>
        </w:rPr>
        <w:t xml:space="preserve">Sticky CTA bar post-scroll</w:t>
      </w:r>
      <w:r>
        <w:rPr>
          <w:rFonts w:ascii="Calibri" w:cs="Calibri" w:eastAsia="Calibri" w:hAnsi="Calibri"/>
          <w:sz w:val="22"/>
          <w:szCs w:val="22"/>
        </w:rPr>
        <w:t xml:space="preserve"> — Ajouter un bandeau sticky qui apparaît après le scroll du hero : «Dégustation gratuite · Réponse 24h · [Demander un devis]». Impact : CTA toujours visible, réassurance constante. Effort : 1h CSS/JS.</w:t>
      </w:r>
    </w:p>
    <w:p>
      <w:pPr>
        <w:pStyle w:val="ListParagraph"/>
        <w:numPr>
          <w:ilvl w:val="0"/>
          <w:numId w:val="3"/>
        </w:numPr>
        <w:spacing w:after="120" w:line="320"/>
      </w:pPr>
      <w:r>
        <w:rPr>
          <w:rFonts w:ascii="Calibri" w:cs="Calibri" w:eastAsia="Calibri" w:hAnsi="Calibri"/>
          <w:b/>
          <w:bCs/>
          <w:sz w:val="22"/>
          <w:szCs w:val="22"/>
        </w:rPr>
        <w:t xml:space="preserve">Ajouter le portrait fondateur</w:t>
      </w:r>
      <w:r>
        <w:rPr>
          <w:rFonts w:ascii="Calibri" w:cs="Calibri" w:eastAsia="Calibri" w:hAnsi="Calibri"/>
          <w:sz w:val="22"/>
          <w:szCs w:val="22"/>
        </w:rPr>
        <w:t xml:space="preserve"> — Créer une micro-section «Hamza HAMDI, Chef Pâtissier &amp; Co-fondateur» avec photo, 2 lignes de parcours, et un lien vers la page Atelier. Impact : +confiance, +connexion émotionnelle, +autorité. Effort : 1h.</w:t>
      </w:r>
    </w:p>
    <w:p>
      <w:pPr>
        <w:pStyle w:val="ListParagraph"/>
        <w:numPr>
          <w:ilvl w:val="0"/>
          <w:numId w:val="3"/>
        </w:numPr>
        <w:spacing w:after="120" w:line="320"/>
      </w:pPr>
      <w:r>
        <w:rPr>
          <w:rFonts w:ascii="Calibri" w:cs="Calibri" w:eastAsia="Calibri" w:hAnsi="Calibri"/>
          <w:b/>
          <w:bCs/>
          <w:sz w:val="22"/>
          <w:szCs w:val="22"/>
        </w:rPr>
        <w:t xml:space="preserve">Retirer les faux compteurs Reels</w:t>
      </w:r>
      <w:r>
        <w:rPr>
          <w:rFonts w:ascii="Calibri" w:cs="Calibri" w:eastAsia="Calibri" w:hAnsi="Calibri"/>
          <w:sz w:val="22"/>
          <w:szCs w:val="22"/>
        </w:rPr>
        <w:t xml:space="preserve"> — L’overlay TikTok avec 4.8k likes et 312 commentaires fictifs est un risque de crédibilité. Les remplacer par un vrai embed ou simplement par la mention «+500K vues sur nos réseaux» si c’est vérifiable. Impact : +crédibilité. Effort : 30min.</w:t>
      </w:r>
    </w:p>
    <w:p>
      <w:pPr>
        <w:pStyle w:val="ListParagraph"/>
        <w:numPr>
          <w:ilvl w:val="0"/>
          <w:numId w:val="3"/>
        </w:numPr>
        <w:spacing w:after="120" w:line="320"/>
      </w:pPr>
      <w:r>
        <w:rPr>
          <w:rFonts w:ascii="Calibri" w:cs="Calibri" w:eastAsia="Calibri" w:hAnsi="Calibri"/>
          <w:b/>
          <w:bCs/>
          <w:sz w:val="22"/>
          <w:szCs w:val="22"/>
        </w:rPr>
        <w:t xml:space="preserve">Nav desktop sur les pages produit</w:t>
      </w:r>
      <w:r>
        <w:rPr>
          <w:rFonts w:ascii="Calibri" w:cs="Calibri" w:eastAsia="Calibri" w:hAnsi="Calibri"/>
          <w:sz w:val="22"/>
          <w:szCs w:val="22"/>
        </w:rPr>
        <w:t xml:space="preserve"> — Copier le composant nav-desktop-links dans les templates produit. Actuellement la navigation desktop est absente sur 9 pages produit. Impact : UX, navigation, rétention. Effort : 15min (copier-coller HTML).</w:t>
      </w:r>
    </w:p>
    <w:p>
      <w:pPr>
        <w:spacing w:after="200"/>
      </w:pPr>
    </w:p>
    <w:p>
      <w:pPr>
        <w:spacing w:after="120" w:before="280"/>
      </w:pPr>
      <w:r>
        <w:rPr>
          <w:rFonts w:ascii="Calibri" w:cs="Calibri" w:eastAsia="Calibri" w:hAnsi="Calibri"/>
          <w:color w:val="A8895C"/>
          <w:sz w:val="22"/>
          <w:szCs w:val="22"/>
        </w:rPr>
        <w:t xml:space="preserve">— </w:t>
      </w:r>
      <w:r>
        <w:rPr>
          <w:rFonts w:ascii="Georgia" w:cs="Georgia" w:eastAsia="Georgia" w:hAnsi="Georgia"/>
          <w:b/>
          <w:bCs/>
          <w:color w:val="1A1714"/>
          <w:sz w:val="24"/>
          <w:szCs w:val="24"/>
        </w:rPr>
        <w:t xml:space="preserve">3 Recommandations stratégiques long terme</w:t>
      </w:r>
    </w:p>
    <w:p>
      <w:pPr>
        <w:spacing w:after="120" w:line="320"/>
      </w:pPr>
      <w:r>
        <w:rPr>
          <w:rFonts w:ascii="Georgia" w:cs="Georgia" w:eastAsia="Georgia" w:hAnsi="Georgia"/>
          <w:b/>
          <w:bCs/>
          <w:color w:val="1A1714"/>
          <w:sz w:val="24"/>
          <w:szCs w:val="24"/>
        </w:rPr>
        <w:t xml:space="preserve">1. Micro-configurateur de devis interactif</w:t>
      </w:r>
    </w:p>
    <w:p>
      <w:pPr>
        <w:spacing w:after="120" w:line="320"/>
      </w:pPr>
      <w:r>
        <w:rPr>
          <w:rFonts w:ascii="Calibri" w:cs="Calibri" w:eastAsia="Calibri" w:hAnsi="Calibri"/>
          <w:color w:val="1A1714"/>
          <w:sz w:val="22"/>
          <w:szCs w:val="22"/>
        </w:rPr>
        <w:t xml:space="preserve">Transformer le tunnel de conversion passif (formulaire générique) en une expérience interactive : sélection des pièces, quantités, fréquence de livraison, estimation de marge instantanée («avec nos pièces à 5€, vendues 12€, votre marge serait de X€/mois»). Cela gamifie l’expérience, qualifie les leads, et déclenche le biais d’engagement (sunk cost fallacy une fois le devis commencé). Horizon : 4-6 semaines.</w:t>
      </w:r>
    </w:p>
    <w:p>
      <w:pPr>
        <w:spacing w:after="120" w:line="320"/>
      </w:pPr>
      <w:r>
        <w:rPr>
          <w:rFonts w:ascii="Georgia" w:cs="Georgia" w:eastAsia="Georgia" w:hAnsi="Georgia"/>
          <w:b/>
          <w:bCs/>
          <w:color w:val="1A1714"/>
          <w:sz w:val="24"/>
          <w:szCs w:val="24"/>
        </w:rPr>
        <w:t xml:space="preserve">2. Stratégie de contenu &amp; SEO</w:t>
      </w:r>
    </w:p>
    <w:p>
      <w:pPr>
        <w:spacing w:after="120" w:line="320"/>
      </w:pPr>
      <w:r>
        <w:rPr>
          <w:rFonts w:ascii="Calibri" w:cs="Calibri" w:eastAsia="Calibri" w:hAnsi="Calibri"/>
          <w:color w:val="1A1714"/>
          <w:sz w:val="22"/>
          <w:szCs w:val="22"/>
        </w:rPr>
        <w:t xml:space="preserve">Créer un blog avec 3 types de contenus : coulisses d’atelier (vidéos de fabrication), guides B2B («Comment intégrer un dessert premium à votre carte»), et témoignages clients détaillés (case studies). Chaque article est une porte d’entrée SEO et un outil de nurturing pour les leads qui ne sont pas encore prêts à commander. Les pages produit individuelles (déjà créées) sont un excellent premier pas. Horizon : continu, 2 articles/mois.</w:t>
      </w:r>
    </w:p>
    <w:p>
      <w:pPr>
        <w:spacing w:after="120" w:line="320"/>
      </w:pPr>
      <w:r>
        <w:rPr>
          <w:rFonts w:ascii="Georgia" w:cs="Georgia" w:eastAsia="Georgia" w:hAnsi="Georgia"/>
          <w:b/>
          <w:bCs/>
          <w:color w:val="1A1714"/>
          <w:sz w:val="24"/>
          <w:szCs w:val="24"/>
        </w:rPr>
        <w:t xml:space="preserve">3. Expansion du modèle : préparer le B2C (Klépierre)</w:t>
      </w:r>
    </w:p>
    <w:p>
      <w:pPr>
        <w:spacing w:after="120" w:line="320"/>
      </w:pPr>
      <w:r>
        <w:rPr>
          <w:rFonts w:ascii="Calibri" w:cs="Calibri" w:eastAsia="Calibri" w:hAnsi="Calibri"/>
          <w:color w:val="1A1714"/>
          <w:sz w:val="22"/>
          <w:szCs w:val="22"/>
        </w:rPr>
        <w:t xml:space="preserve">Le PDF d’implantation révèle un projet de kiosque en centre commercial (10-15m², vitrines type joaillerie). Le site devra évoluer pour servir les deux audiences : un parcours B2B (partenariats restauration) et un parcours B2C (vente directe, click &amp; collect, coffrets cadeaux). Cela implique une refonte de l’architecture de navigation et potentiellement un sous-domaine ou une section dédiée. Horizon : 2-3 mois.</w:t>
      </w:r>
    </w:p>
    <w:p>
      <w:pPr>
        <w:spacing w:after="300"/>
      </w:pPr>
    </w:p>
    <w:p>
      <w:pPr>
        <w:pBdr>
          <w:top w:val="single" w:color="A8895C" w:sz="4" w:space="16"/>
        </w:pBdr>
        <w:spacing w:after="200" w:before="200"/>
      </w:pPr>
      <w:r>
        <w:rPr>
          <w:rFonts w:ascii="Georgia" w:cs="Georgia" w:eastAsia="Georgia" w:hAnsi="Georgia"/>
          <w:b/>
          <w:bCs/>
          <w:color w:val="1A1714"/>
          <w:sz w:val="30"/>
          <w:szCs w:val="30"/>
        </w:rPr>
        <w:t xml:space="preserve">Conclusion</w:t>
      </w:r>
    </w:p>
    <w:p>
      <w:pPr>
        <w:spacing w:after="120" w:line="320"/>
      </w:pPr>
      <w:r>
        <w:rPr>
          <w:rFonts w:ascii="Calibri" w:cs="Calibri" w:eastAsia="Calibri" w:hAnsi="Calibri"/>
          <w:color w:val="1A1714"/>
          <w:sz w:val="22"/>
          <w:szCs w:val="22"/>
        </w:rPr>
        <w:t xml:space="preserve">Maison Mirage est une marque qui a tout pour devenir une référence de son secteur. Le produit est spectaculaire, la direction artistique est d’un niveau rarement vu pour une jeune marque marseillaise, et le design system est propre et maintenable. Les axes d’amélioration sont principalement liés au tunnel de conversion (CRO), à la psychologie de persuasion, et à la structuration du contenu. Les 5 quick wins proposés représentent moins d’une journée de travail pour un impact immédiat sur le taux de conversion et la perception de la marque.</w:t>
      </w:r>
    </w:p>
    <w:p>
      <w:pPr>
        <w:spacing w:after="120" w:line="320"/>
      </w:pPr>
      <w:r>
        <w:rPr>
          <w:rFonts w:ascii="Georgia" w:cs="Georgia" w:eastAsia="Georgia" w:hAnsi="Georgia"/>
          <w:i/>
          <w:iCs/>
          <w:color w:val="A8895C"/>
          <w:sz w:val="24"/>
          <w:szCs w:val="24"/>
        </w:rPr>
        <w:t xml:space="preserve">Le site ne nécessite pas de refonte. Il nécessite une évolution stratégique.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560"/>
        <w:sz w:val="16"/>
        <w:szCs w:val="16"/>
      </w:rPr>
      <w:t xml:space="preserve">Page </w:t>
    </w:r>
    <w:r>
      <w:rPr>
        <w:rFonts w:ascii="Consolas" w:cs="Consolas" w:eastAsia="Consolas" w:hAnsi="Consolas"/>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onsolas" w:cs="Consolas" w:eastAsia="Consolas" w:hAnsi="Consolas"/>
        <w:color w:val="6B6560"/>
        <w:sz w:val="16"/>
        <w:szCs w:val="16"/>
      </w:rPr>
      <w:t xml:space="preserve">Maison Mirage — Audit 360°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QW%1."/>
      <w:lvlJc w:val="left"/>
      <w:pPr>
        <w:ind w:left="72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714"/>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1714"/>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A88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2026-03-11T12:35:15.698Z</dcterms:created>
  <dcterms:modified xsi:type="dcterms:W3CDTF">2026-03-11T12:35:15.699Z</dcterms:modified>
</cp:coreProperties>
</file>

<file path=docProps/custom.xml><?xml version="1.0" encoding="utf-8"?>
<Properties xmlns="http://schemas.openxmlformats.org/officeDocument/2006/custom-properties" xmlns:vt="http://schemas.openxmlformats.org/officeDocument/2006/docPropsVTypes"/>
</file>