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jc w:val="center"/>
      </w:pPr>
      <w:r>
        <w:rPr>
          <w:rFonts w:ascii="Calibri" w:hAnsi="Calibri"/>
          <w:b/>
          <w:i w:val="0"/>
          <w:color w:val="A8895C"/>
          <w:sz w:val="24"/>
        </w:rPr>
        <w:t>AUDIT 360°</w:t>
      </w:r>
    </w:p>
    <w:p>
      <w:pPr>
        <w:jc w:val="center"/>
      </w:pPr>
      <w:r>
        <w:rPr>
          <w:rFonts w:ascii="Calibri Light" w:hAnsi="Calibri Light"/>
          <w:b w:val="0"/>
          <w:color w:val="1A1714"/>
          <w:sz w:val="72"/>
        </w:rPr>
        <w:t>MAISON MIRAGE</w:t>
      </w:r>
    </w:p>
    <w:p>
      <w:pPr>
        <w:spacing w:after="600"/>
        <w:jc w:val="center"/>
      </w:pPr>
      <w:r>
        <w:rPr>
          <w:rFonts w:ascii="Calibri" w:hAnsi="Calibri"/>
          <w:b w:val="0"/>
          <w:i w:val="0"/>
          <w:color w:val="6B6560"/>
          <w:sz w:val="28"/>
        </w:rPr>
        <w:t>lamaisonmirage.com</w:t>
      </w:r>
    </w:p>
    <w:p>
      <w:pPr>
        <w:jc w:val="center"/>
      </w:pPr>
      <w:r>
        <w:rPr>
          <w:color w:val="A8895C"/>
          <w:sz w:val="16"/>
        </w:rPr>
        <w:t>────────────────────────────────────────</w:t>
      </w:r>
    </w:p>
    <w:p>
      <w:pPr>
        <w:spacing w:after="120"/>
        <w:jc w:val="center"/>
      </w:pPr>
      <w:r>
        <w:rPr>
          <w:rFonts w:ascii="Calibri" w:hAnsi="Calibri"/>
          <w:b w:val="0"/>
          <w:i w:val="0"/>
          <w:color w:val="6B6560"/>
          <w:sz w:val="20"/>
        </w:rPr>
        <w:t>Design System · UX/UI · CRO · Marketing · Technique</w:t>
      </w:r>
    </w:p>
    <w:p>
      <w:pPr>
        <w:spacing w:after="80"/>
        <w:jc w:val="center"/>
      </w:pPr>
      <w:r>
        <w:rPr>
          <w:rFonts w:ascii="Calibri" w:hAnsi="Calibri"/>
          <w:b w:val="0"/>
          <w:i w:val="0"/>
          <w:color w:val="6B6560"/>
          <w:sz w:val="20"/>
        </w:rPr>
        <w:t>Mars 2026 — V3.0</w:t>
      </w:r>
    </w:p>
    <w:p>
      <w:pPr>
        <w:spacing w:after="120"/>
        <w:jc w:val="center"/>
      </w:pPr>
      <w:r>
        <w:rPr>
          <w:rFonts w:ascii="Calibri" w:hAnsi="Calibri"/>
          <w:b w:val="0"/>
          <w:i/>
          <w:color w:val="A8895C"/>
          <w:sz w:val="18"/>
        </w:rPr>
        <w:t>Confidentiel — Usage interne uniquement</w:t>
      </w:r>
    </w:p>
    <w:p>
      <w:r>
        <w:br w:type="page"/>
      </w:r>
    </w:p>
    <w:p>
      <w:pPr>
        <w:pStyle w:val="Heading1"/>
      </w:pPr>
      <w:r>
        <w:rPr>
          <w:color w:val="A8895C"/>
        </w:rPr>
        <w:t>Synthèse Exécutive</w:t>
      </w:r>
    </w:p>
    <w:p>
      <w:pPr>
        <w:spacing w:after="240"/>
      </w:pPr>
      <w:r>
        <w:rPr>
          <w:rFonts w:ascii="Calibri" w:hAnsi="Calibri"/>
          <w:b w:val="0"/>
          <w:i w:val="0"/>
          <w:color w:val="1A1714"/>
          <w:sz w:val="21"/>
        </w:rPr>
        <w:t>Maison Mirage est une maison de haute pâtisserie trompe-l’œil basée à Marseille, ciblant principalement les professionnels (restaurateurs, concept stores, hôtels) et l’événementiel. Le produit est exceptionnel, la direction artistique solide, et l’identité de marque distincte. Cependant, le site web — bien que visuellement abouti — souffre de lacunes structurelles qui freinent considérablement son potentiel de conversion.</w:t>
      </w:r>
    </w:p>
    <w:p>
      <w:pPr>
        <w:spacing w:after="240"/>
        <w:jc w:val="center"/>
      </w:pPr>
      <w:r>
        <w:rPr>
          <w:rFonts w:ascii="Calibri" w:hAnsi="Calibri"/>
          <w:b/>
          <w:i w:val="0"/>
          <w:color w:val="A8895C"/>
          <w:sz w:val="28"/>
        </w:rPr>
        <w:t>Note globale : 7.2 / 10</w:t>
      </w:r>
    </w:p>
    <w:p>
      <w:pPr>
        <w:spacing w:after="320"/>
      </w:pPr>
      <w:r>
        <w:rPr>
          <w:rFonts w:ascii="Calibri" w:hAnsi="Calibri"/>
          <w:b w:val="0"/>
          <w:i w:val="0"/>
          <w:color w:val="1A1714"/>
          <w:sz w:val="20"/>
        </w:rPr>
        <w:t>Le site est passé d’un one-pager à un site multi-pages (pages produit individuelles, Notre Histoire, Atelier, Case Studies), ce qui répond à plusieurs recommandations de l’audit précédent. Les prix sont désormais affichés (« dès 5€/pièce »), les CTA sont multipliés, et le storytelling fondateur (Hamza Hamdi) est intégré. Cet audit V3 identifie les axes restants pour atteindre l’excellence.</w:t>
      </w:r>
    </w:p>
    <w:p>
      <w:pPr>
        <w:pStyle w:val="Heading2"/>
      </w:pPr>
      <w:r>
        <w:rPr>
          <w:color w:val="A8895C"/>
        </w:rPr>
        <w:t>Scores par dimension</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r>
              <w:rPr>
                <w:rFonts w:ascii="Calibri" w:hAnsi="Calibri"/>
                <w:b/>
                <w:sz w:val="20"/>
              </w:rPr>
              <w:t>Proposition de valeur</w:t>
            </w:r>
          </w:p>
        </w:tc>
        <w:tc>
          <w:tcPr>
            <w:tcW w:type="dxa" w:w="3010"/>
          </w:tcPr>
          <w:p>
            <w:pPr>
              <w:jc w:val="center"/>
            </w:pPr>
            <w:r/>
            <w:r>
              <w:rPr>
                <w:rFonts w:ascii="Calibri" w:hAnsi="Calibri"/>
                <w:b/>
                <w:color w:val="27AE60"/>
                <w:sz w:val="22"/>
              </w:rPr>
              <w:t>8/10</w:t>
            </w:r>
          </w:p>
        </w:tc>
        <w:tc>
          <w:tcPr>
            <w:tcW w:type="dxa" w:w="3010"/>
          </w:tcPr>
          <w:p>
            <w:r/>
            <w:r>
              <w:rPr>
                <w:rFonts w:ascii="Consolas" w:hAnsi="Consolas"/>
                <w:color w:val="27AE60"/>
                <w:sz w:val="18"/>
              </w:rPr>
              <w:t>████████░░</w:t>
            </w:r>
          </w:p>
        </w:tc>
      </w:tr>
      <w:tr>
        <w:tc>
          <w:tcPr>
            <w:tcW w:type="dxa" w:w="3010"/>
          </w:tcPr>
          <w:p>
            <w:r/>
            <w:r>
              <w:rPr>
                <w:rFonts w:ascii="Calibri" w:hAnsi="Calibri"/>
                <w:b/>
                <w:sz w:val="20"/>
              </w:rPr>
              <w:t>UX &amp; Ergonomie</w:t>
            </w:r>
          </w:p>
        </w:tc>
        <w:tc>
          <w:tcPr>
            <w:tcW w:type="dxa" w:w="3010"/>
          </w:tcPr>
          <w:p>
            <w:pPr>
              <w:jc w:val="center"/>
            </w:pPr>
            <w:r/>
            <w:r>
              <w:rPr>
                <w:rFonts w:ascii="Calibri" w:hAnsi="Calibri"/>
                <w:b/>
                <w:color w:val="E67E22"/>
                <w:sz w:val="22"/>
              </w:rPr>
              <w:t>6.5/10</w:t>
            </w:r>
          </w:p>
        </w:tc>
        <w:tc>
          <w:tcPr>
            <w:tcW w:type="dxa" w:w="3010"/>
          </w:tcPr>
          <w:p>
            <w:r/>
            <w:r>
              <w:rPr>
                <w:rFonts w:ascii="Consolas" w:hAnsi="Consolas"/>
                <w:color w:val="E67E22"/>
                <w:sz w:val="18"/>
              </w:rPr>
              <w:t>██████░░░░</w:t>
            </w:r>
          </w:p>
        </w:tc>
      </w:tr>
      <w:tr>
        <w:tc>
          <w:tcPr>
            <w:tcW w:type="dxa" w:w="3010"/>
          </w:tcPr>
          <w:p>
            <w:r/>
            <w:r>
              <w:rPr>
                <w:rFonts w:ascii="Calibri" w:hAnsi="Calibri"/>
                <w:b/>
                <w:sz w:val="20"/>
              </w:rPr>
              <w:t>UI &amp; Branding</w:t>
            </w:r>
          </w:p>
        </w:tc>
        <w:tc>
          <w:tcPr>
            <w:tcW w:type="dxa" w:w="3010"/>
          </w:tcPr>
          <w:p>
            <w:pPr>
              <w:jc w:val="center"/>
            </w:pPr>
            <w:r/>
            <w:r>
              <w:rPr>
                <w:rFonts w:ascii="Calibri" w:hAnsi="Calibri"/>
                <w:b/>
                <w:color w:val="27AE60"/>
                <w:sz w:val="22"/>
              </w:rPr>
              <w:t>8.5/10</w:t>
            </w:r>
          </w:p>
        </w:tc>
        <w:tc>
          <w:tcPr>
            <w:tcW w:type="dxa" w:w="3010"/>
          </w:tcPr>
          <w:p>
            <w:r/>
            <w:r>
              <w:rPr>
                <w:rFonts w:ascii="Consolas" w:hAnsi="Consolas"/>
                <w:color w:val="27AE60"/>
                <w:sz w:val="18"/>
              </w:rPr>
              <w:t>████████░░</w:t>
            </w:r>
          </w:p>
        </w:tc>
      </w:tr>
      <w:tr>
        <w:tc>
          <w:tcPr>
            <w:tcW w:type="dxa" w:w="3010"/>
          </w:tcPr>
          <w:p>
            <w:r/>
            <w:r>
              <w:rPr>
                <w:rFonts w:ascii="Calibri" w:hAnsi="Calibri"/>
                <w:b/>
                <w:sz w:val="20"/>
              </w:rPr>
              <w:t>Marketing &amp; Persuasion</w:t>
            </w:r>
          </w:p>
        </w:tc>
        <w:tc>
          <w:tcPr>
            <w:tcW w:type="dxa" w:w="3010"/>
          </w:tcPr>
          <w:p>
            <w:pPr>
              <w:jc w:val="center"/>
            </w:pPr>
            <w:r/>
            <w:r>
              <w:rPr>
                <w:rFonts w:ascii="Calibri" w:hAnsi="Calibri"/>
                <w:b/>
                <w:color w:val="E67E22"/>
                <w:sz w:val="22"/>
              </w:rPr>
              <w:t>7/10</w:t>
            </w:r>
          </w:p>
        </w:tc>
        <w:tc>
          <w:tcPr>
            <w:tcW w:type="dxa" w:w="3010"/>
          </w:tcPr>
          <w:p>
            <w:r/>
            <w:r>
              <w:rPr>
                <w:rFonts w:ascii="Consolas" w:hAnsi="Consolas"/>
                <w:color w:val="E67E22"/>
                <w:sz w:val="18"/>
              </w:rPr>
              <w:t>███████░░░</w:t>
            </w:r>
          </w:p>
        </w:tc>
      </w:tr>
      <w:tr>
        <w:tc>
          <w:tcPr>
            <w:tcW w:type="dxa" w:w="3010"/>
          </w:tcPr>
          <w:p>
            <w:r/>
            <w:r>
              <w:rPr>
                <w:rFonts w:ascii="Calibri" w:hAnsi="Calibri"/>
                <w:b/>
                <w:sz w:val="20"/>
              </w:rPr>
              <w:t>Technique &amp; Mobile</w:t>
            </w:r>
          </w:p>
        </w:tc>
        <w:tc>
          <w:tcPr>
            <w:tcW w:type="dxa" w:w="3010"/>
          </w:tcPr>
          <w:p>
            <w:pPr>
              <w:jc w:val="center"/>
            </w:pPr>
            <w:r/>
            <w:r>
              <w:rPr>
                <w:rFonts w:ascii="Calibri" w:hAnsi="Calibri"/>
                <w:b/>
                <w:color w:val="C0392B"/>
                <w:sz w:val="22"/>
              </w:rPr>
              <w:t>6/10</w:t>
            </w:r>
          </w:p>
        </w:tc>
        <w:tc>
          <w:tcPr>
            <w:tcW w:type="dxa" w:w="3010"/>
          </w:tcPr>
          <w:p>
            <w:r/>
            <w:r>
              <w:rPr>
                <w:rFonts w:ascii="Consolas" w:hAnsi="Consolas"/>
                <w:color w:val="C0392B"/>
                <w:sz w:val="18"/>
              </w:rPr>
              <w:t>██████░░░░</w:t>
            </w:r>
          </w:p>
        </w:tc>
      </w:tr>
      <w:tr>
        <w:tc>
          <w:tcPr>
            <w:tcW w:type="dxa" w:w="3010"/>
          </w:tcPr>
          <w:p>
            <w:r/>
            <w:r>
              <w:rPr>
                <w:rFonts w:ascii="Calibri" w:hAnsi="Calibri"/>
                <w:b/>
                <w:sz w:val="20"/>
              </w:rPr>
              <w:t>Architecture &amp; SEO</w:t>
            </w:r>
          </w:p>
        </w:tc>
        <w:tc>
          <w:tcPr>
            <w:tcW w:type="dxa" w:w="3010"/>
          </w:tcPr>
          <w:p>
            <w:pPr>
              <w:jc w:val="center"/>
            </w:pPr>
            <w:r/>
            <w:r>
              <w:rPr>
                <w:rFonts w:ascii="Calibri" w:hAnsi="Calibri"/>
                <w:b/>
                <w:color w:val="E67E22"/>
                <w:sz w:val="22"/>
              </w:rPr>
              <w:t>7/10</w:t>
            </w:r>
          </w:p>
        </w:tc>
        <w:tc>
          <w:tcPr>
            <w:tcW w:type="dxa" w:w="3010"/>
          </w:tcPr>
          <w:p>
            <w:r/>
            <w:r>
              <w:rPr>
                <w:rFonts w:ascii="Consolas" w:hAnsi="Consolas"/>
                <w:color w:val="E67E22"/>
                <w:sz w:val="18"/>
              </w:rPr>
              <w:t>███████░░░</w:t>
            </w:r>
          </w:p>
        </w:tc>
      </w:tr>
    </w:tbl>
    <w:p>
      <w:r>
        <w:br w:type="page"/>
      </w:r>
    </w:p>
    <w:p>
      <w:pPr>
        <w:pStyle w:val="Heading1"/>
      </w:pPr>
      <w:r>
        <w:rPr>
          <w:color w:val="A8895C"/>
        </w:rPr>
        <w:t>1. Analyse de la Proposition de Valeur</w:t>
      </w:r>
    </w:p>
    <w:p>
      <w:pPr>
        <w:spacing w:after="240"/>
      </w:pPr>
      <w:r>
        <w:rPr>
          <w:rFonts w:ascii="Calibri" w:hAnsi="Calibri"/>
          <w:b/>
          <w:i w:val="0"/>
          <w:color w:val="27AE60"/>
          <w:sz w:val="24"/>
        </w:rPr>
        <w:t>Score : 8/10</w:t>
      </w:r>
    </w:p>
    <w:p>
      <w:pPr>
        <w:pStyle w:val="Heading2"/>
      </w:pPr>
      <w:r>
        <w:rPr>
          <w:color w:val="A8895C"/>
        </w:rPr>
        <w:t>1.1 Le test des 3 secondes</w:t>
      </w:r>
    </w:p>
    <w:p>
      <w:pPr>
        <w:spacing w:after="160"/>
      </w:pPr>
      <w:r>
        <w:rPr>
          <w:rFonts w:ascii="Calibri" w:hAnsi="Calibri"/>
          <w:b w:val="0"/>
          <w:i w:val="0"/>
          <w:color w:val="1A1714"/>
          <w:sz w:val="21"/>
        </w:rPr>
        <w:t>Le hero est puissant. « L’Art de l’Illusion » est une accroche qui synthétise parfaitement le positionnement en 4 mots. La sous-accroche « Le dessert que vos clients filment avant de manger » est un hook business immédiat qui s’adresse directement au restaurateur. La vidéo autoplay de la pêche découpée crée un « stop-scroll effect » instantané.</w:t>
      </w:r>
    </w:p>
    <w:p>
      <w:pPr>
        <w:spacing w:after="240"/>
      </w:pPr>
      <w:r>
        <w:rPr>
          <w:rFonts w:ascii="Calibri" w:hAnsi="Calibri"/>
          <w:b/>
          <w:i w:val="0"/>
          <w:color w:val="1A1714"/>
          <w:sz w:val="21"/>
        </w:rPr>
        <w:t>Résultat du test : en 3 secondes, un visiteur comprend (1) que c’est de la pâtisserie, (2) que c’est du trompe-l’œil haut de gamme, (3) que la cible est professionnelle. C’est réussi.</w:t>
      </w:r>
    </w:p>
    <w:p>
      <w:pPr>
        <w:pStyle w:val="Heading2"/>
      </w:pPr>
      <w:r>
        <w:rPr>
          <w:color w:val="A8895C"/>
        </w:rPr>
        <w:t>1.2 Le « Mirage » est-il communiqué ?</w:t>
      </w:r>
    </w:p>
    <w:p>
      <w:pPr>
        <w:spacing w:after="120"/>
      </w:pPr>
      <w:r>
        <w:rPr>
          <w:rFonts w:ascii="Calibri" w:hAnsi="Calibri"/>
          <w:b w:val="0"/>
          <w:i w:val="0"/>
          <w:color w:val="1A1714"/>
          <w:sz w:val="21"/>
        </w:rPr>
        <w:t>Visuellement : OUI. Le flatlay hero avec les pièces trompe-l’œil dispersées, la vidéo de découpe, et la qualité photo produit (fond neutre, éclairage studio, ombres portées subtiles) créent un univers d’illusion cohérent. On voit le mirage avant de le lire.</w:t>
      </w:r>
    </w:p>
    <w:p>
      <w:pPr>
        <w:spacing w:after="160"/>
      </w:pPr>
      <w:r>
        <w:rPr>
          <w:rFonts w:ascii="Calibri" w:hAnsi="Calibri"/>
          <w:b w:val="0"/>
          <w:i w:val="0"/>
          <w:color w:val="1A1714"/>
          <w:sz w:val="21"/>
        </w:rPr>
        <w:t>Textuellement : PARTIELLEMENT. Le mot « Mirage » n’apparaît que dans le nom de la marque. Il manque une ligne de storytelling qui exploite le champ sémantique de l’illusion : « apparition », « révélation », « dévoilement », « ce que vous croyez voir ». Le site utilise « L’Art de l’Illusion » et « De la matière à l’illusion », mais le potentiel sémantique n’est pas pleinement exploité dans le corps de texte.</w:t>
      </w:r>
    </w:p>
    <w:p>
      <w:pPr>
        <w:spacing w:after="40"/>
      </w:pPr>
      <w:r>
        <w:rPr>
          <w:rFonts w:ascii="Calibri" w:hAnsi="Calibri"/>
          <w:b/>
          <w:color w:val="A8895C"/>
          <w:sz w:val="20"/>
        </w:rPr>
        <w:t xml:space="preserve">[MOYENNE] </w:t>
      </w:r>
      <w:r>
        <w:rPr>
          <w:rFonts w:ascii="Calibri" w:hAnsi="Calibri"/>
          <w:b/>
          <w:sz w:val="21"/>
        </w:rPr>
        <w:t>Enrichir le vocabulaire de l’illusion</w:t>
      </w:r>
    </w:p>
    <w:p>
      <w:pPr>
        <w:spacing w:after="200"/>
        <w:ind w:left="432"/>
      </w:pPr>
      <w:r>
        <w:rPr>
          <w:rFonts w:ascii="Calibri" w:hAnsi="Calibri"/>
          <w:color w:val="6B6560"/>
          <w:sz w:val="20"/>
        </w:rPr>
        <w:t>Intégrer le champ lexical du mirage dans chaque section : « Révélation » pour la vidéo de découpe, « Apparition » pour la collection, « Le secret » pour les fiches produit. Cela renforce le branding à chaque point de contact sans effort supplémentaire.</w:t>
      </w:r>
    </w:p>
    <w:p>
      <w:pPr>
        <w:pStyle w:val="Heading2"/>
      </w:pPr>
      <w:r>
        <w:rPr>
          <w:color w:val="A8895C"/>
        </w:rPr>
        <w:t>1.3 Le duo B2B/B2C : un positionnement ambigu</w:t>
      </w:r>
    </w:p>
    <w:p>
      <w:pPr>
        <w:spacing w:after="160"/>
      </w:pPr>
      <w:r>
        <w:rPr>
          <w:rFonts w:ascii="Calibri" w:hAnsi="Calibri"/>
          <w:b w:val="0"/>
          <w:i w:val="0"/>
          <w:color w:val="1A1714"/>
          <w:sz w:val="21"/>
        </w:rPr>
        <w:t>Le site oscille entre deux audiences. Le hero et les KPI parlent aux professionnels (« +30% ticket moyen dessert chez nos partenaires », « 0 chef requis »), mais la section événements cible les particuliers (mariages, anniversaires). Le PDF d’implantation Klépierre révèle une ambition B2C/retail (kiosque en centre commercial). Le Gateway modal propose bien deux chemins (Professionnels / Événements), mais cette segmentation n’est pas visible dès l’arrivée sur le site.</w:t>
      </w:r>
    </w:p>
    <w:p>
      <w:pPr>
        <w:spacing w:after="40"/>
      </w:pPr>
      <w:r>
        <w:rPr>
          <w:rFonts w:ascii="Calibri" w:hAnsi="Calibri"/>
          <w:b/>
          <w:color w:val="E67E22"/>
          <w:sz w:val="20"/>
        </w:rPr>
        <w:t xml:space="preserve">[HAUTE] </w:t>
      </w:r>
      <w:r>
        <w:rPr>
          <w:rFonts w:ascii="Calibri" w:hAnsi="Calibri"/>
          <w:b/>
          <w:sz w:val="21"/>
        </w:rPr>
        <w:t>Clarifier la segmentation dès le hero</w:t>
      </w:r>
    </w:p>
    <w:p>
      <w:pPr>
        <w:spacing w:after="200"/>
        <w:ind w:left="432"/>
      </w:pPr>
      <w:r>
        <w:rPr>
          <w:rFonts w:ascii="Calibri" w:hAnsi="Calibri"/>
          <w:color w:val="6B6560"/>
          <w:sz w:val="20"/>
        </w:rPr>
        <w:t>Ajouter un sous-texte sous le CTA principal : « Pour votre restaurant » / « Pour votre événement ». Ou créer un split hero A/B testé selon la source de trafic (SEA pro vs. SEA événementiel). L’architecture actuelle du Gateway est bonne, mais elle est enterrée derrière un clic.</w:t>
      </w:r>
    </w:p>
    <w:p>
      <w:r>
        <w:br w:type="page"/>
      </w:r>
    </w:p>
    <w:p>
      <w:pPr>
        <w:pStyle w:val="Heading1"/>
      </w:pPr>
      <w:r>
        <w:rPr>
          <w:color w:val="A8895C"/>
        </w:rPr>
        <w:t>2. Audit UX &amp; Ergonomie</w:t>
      </w:r>
    </w:p>
    <w:p>
      <w:pPr>
        <w:spacing w:after="240"/>
      </w:pPr>
      <w:r>
        <w:rPr>
          <w:rFonts w:ascii="Calibri" w:hAnsi="Calibri"/>
          <w:b/>
          <w:i w:val="0"/>
          <w:color w:val="E67E22"/>
          <w:sz w:val="24"/>
        </w:rPr>
        <w:t>Score : 6.5/10</w:t>
      </w:r>
    </w:p>
    <w:p>
      <w:pPr>
        <w:pStyle w:val="Heading2"/>
      </w:pPr>
      <w:r>
        <w:rPr>
          <w:color w:val="A8895C"/>
        </w:rPr>
        <w:t>2.1 Parcours utilisateur (User Journey)</w:t>
      </w:r>
    </w:p>
    <w:p>
      <w:pPr>
        <w:spacing w:after="160"/>
      </w:pPr>
      <w:r>
        <w:rPr>
          <w:rFonts w:ascii="Calibri" w:hAnsi="Calibri"/>
          <w:b w:val="0"/>
          <w:i w:val="0"/>
          <w:color w:val="1A1714"/>
          <w:sz w:val="21"/>
        </w:rPr>
        <w:t>Le parcours d’un restaurateur type : atterrissage hero → scroll vidéo → témoignages → catalogue → page produit → page partenaires → formulaire. C’est un funnel logique, mais il comporte 7+ écrans de scroll sur la homepage avant d’atteindre le formulaire de contact. Sur mobile, cela représente facilement 15+ swipes.</w:t>
      </w:r>
    </w:p>
    <w:p>
      <w:pPr>
        <w:spacing w:after="160"/>
      </w:pPr>
      <w:r>
        <w:rPr>
          <w:rFonts w:ascii="Calibri" w:hAnsi="Calibri"/>
          <w:b w:val="0"/>
          <w:i w:val="0"/>
          <w:color w:val="1A1714"/>
          <w:sz w:val="21"/>
        </w:rPr>
        <w:t>Le sticky CTA bar (ajout post-audit v1) est une amélioration notable : il apparaît au scroll et offre un accès permanent à « Demander un devis ». Mais le volume de contenu entre le hero et le catalogue reste excessif.</w:t>
      </w:r>
    </w:p>
    <w:p>
      <w:pPr>
        <w:pStyle w:val="Heading2"/>
      </w:pPr>
      <w:r>
        <w:rPr>
          <w:color w:val="A8895C"/>
        </w:rPr>
        <w:t>2.2 Points de friction identifiés</w:t>
      </w:r>
    </w:p>
    <w:p>
      <w:pPr>
        <w:spacing w:after="40"/>
      </w:pPr>
      <w:r>
        <w:rPr>
          <w:rFonts w:ascii="Calibri" w:hAnsi="Calibri"/>
          <w:b/>
          <w:color w:val="C0392B"/>
          <w:sz w:val="20"/>
        </w:rPr>
        <w:t xml:space="preserve">[CRITIQUE] </w:t>
      </w:r>
      <w:r>
        <w:rPr>
          <w:rFonts w:ascii="Calibri" w:hAnsi="Calibri"/>
          <w:b/>
          <w:sz w:val="21"/>
        </w:rPr>
        <w:t>Espaces blancs excessifs entre sections</w:t>
      </w:r>
    </w:p>
    <w:p>
      <w:pPr>
        <w:spacing w:after="200"/>
        <w:ind w:left="432"/>
      </w:pPr>
      <w:r>
        <w:rPr>
          <w:rFonts w:ascii="Calibri" w:hAnsi="Calibri"/>
          <w:color w:val="6B6560"/>
          <w:sz w:val="20"/>
        </w:rPr>
        <w:t>Malgré les corrections post-audit v1, les marges inter-sections restent trop généreuses. Le CSS utilise des padding de 8rem à 12rem entre certaines sections (atelier-teaser, founder-section). Règle d’or : le rythme de scroll doit offrir du contenu nouveau à chaque « écran » (viewport). Un écran de vide = un utilisateur perdu. Réduire les paddings de 40% minimum.</w:t>
      </w:r>
    </w:p>
    <w:p>
      <w:pPr>
        <w:spacing w:after="40"/>
      </w:pPr>
      <w:r>
        <w:rPr>
          <w:rFonts w:ascii="Calibri" w:hAnsi="Calibri"/>
          <w:b/>
          <w:color w:val="E67E22"/>
          <w:sz w:val="20"/>
        </w:rPr>
        <w:t xml:space="preserve">[HAUTE] </w:t>
      </w:r>
      <w:r>
        <w:rPr>
          <w:rFonts w:ascii="Calibri" w:hAnsi="Calibri"/>
          <w:b/>
          <w:sz w:val="21"/>
        </w:rPr>
        <w:t>Navigation desktop sous-exploitée</w:t>
      </w:r>
    </w:p>
    <w:p>
      <w:pPr>
        <w:spacing w:after="200"/>
        <w:ind w:left="432"/>
      </w:pPr>
      <w:r>
        <w:rPr>
          <w:rFonts w:ascii="Calibri" w:hAnsi="Calibri"/>
          <w:color w:val="6B6560"/>
          <w:sz w:val="20"/>
        </w:rPr>
        <w:t>La navbar desktop affiche 4 liens (Catalogue, L’Atelier, Notre Histoire, Événements) plus le CTA « Espace Pro ». Problème : le lien Catalogue est une ancre vers la même page (#boutique), pas une page dédiée. L’utilisateur ne distingue pas les pages vs. les ancres. Solution : transformer le catalogue en page autonome /catalogue.html avec filtres et recherche.</w:t>
      </w:r>
    </w:p>
    <w:p>
      <w:pPr>
        <w:spacing w:after="40"/>
      </w:pPr>
      <w:r>
        <w:rPr>
          <w:rFonts w:ascii="Calibri" w:hAnsi="Calibri"/>
          <w:b/>
          <w:color w:val="E67E22"/>
          <w:sz w:val="20"/>
        </w:rPr>
        <w:t xml:space="preserve">[HAUTE] </w:t>
      </w:r>
      <w:r>
        <w:rPr>
          <w:rFonts w:ascii="Calibri" w:hAnsi="Calibri"/>
          <w:b/>
          <w:sz w:val="21"/>
        </w:rPr>
        <w:t>Chatbot B2B — Bonne idée, exécution à affiner</w:t>
      </w:r>
    </w:p>
    <w:p>
      <w:pPr>
        <w:spacing w:after="200"/>
        <w:ind w:left="432"/>
      </w:pPr>
      <w:r>
        <w:rPr>
          <w:rFonts w:ascii="Calibri" w:hAnsi="Calibri"/>
          <w:color w:val="6B6560"/>
          <w:sz w:val="20"/>
        </w:rPr>
        <w:t>Le chat widget en bas à droite est pertinent pour un site B2B. Mais : (1) il chevauche le contenu sur mobile, (2) le message d’accueil est générique, (3) il n’y a pas de qualification automatique (quel type d’établissement ?, quel volume ?). Suggestion : utiliser un chatbot avec des questions pré-qualifiantes avant la mise en relation humaine.</w:t>
      </w:r>
    </w:p>
    <w:p>
      <w:pPr>
        <w:spacing w:after="40"/>
      </w:pPr>
      <w:r>
        <w:rPr>
          <w:rFonts w:ascii="Calibri" w:hAnsi="Calibri"/>
          <w:b/>
          <w:color w:val="A8895C"/>
          <w:sz w:val="20"/>
        </w:rPr>
        <w:t xml:space="preserve">[MOYENNE] </w:t>
      </w:r>
      <w:r>
        <w:rPr>
          <w:rFonts w:ascii="Calibri" w:hAnsi="Calibri"/>
          <w:b/>
          <w:sz w:val="21"/>
        </w:rPr>
        <w:t>Lead magnet form trop long</w:t>
      </w:r>
    </w:p>
    <w:p>
      <w:pPr>
        <w:spacing w:after="200"/>
        <w:ind w:left="432"/>
      </w:pPr>
      <w:r>
        <w:rPr>
          <w:rFonts w:ascii="Calibri" w:hAnsi="Calibri"/>
          <w:color w:val="6B6560"/>
          <w:sz w:val="20"/>
        </w:rPr>
        <w:t>Le formulaire « Recevoir le PDF gratuit » demande le nom de l’établissement ET l’email. Pour un lead magnet, la loi de Hick s’applique : moins de champs = plus de conversions. Phase 1 : email seul. Phase 2 : enrichissement progressif via email de bienvenue.</w:t>
      </w:r>
    </w:p>
    <w:p>
      <w:pPr>
        <w:spacing w:after="40"/>
      </w:pPr>
      <w:r>
        <w:rPr>
          <w:rFonts w:ascii="Calibri" w:hAnsi="Calibri"/>
          <w:b/>
          <w:color w:val="A8895C"/>
          <w:sz w:val="20"/>
        </w:rPr>
        <w:t xml:space="preserve">[MOYENNE] </w:t>
      </w:r>
      <w:r>
        <w:rPr>
          <w:rFonts w:ascii="Calibri" w:hAnsi="Calibri"/>
          <w:b/>
          <w:sz w:val="21"/>
        </w:rPr>
        <w:t>Absence de breadcrumbs sur les pages produit</w:t>
      </w:r>
    </w:p>
    <w:p>
      <w:pPr>
        <w:spacing w:after="200"/>
        <w:ind w:left="432"/>
      </w:pPr>
      <w:r>
        <w:rPr>
          <w:rFonts w:ascii="Calibri" w:hAnsi="Calibri"/>
          <w:color w:val="6B6560"/>
          <w:sz w:val="20"/>
        </w:rPr>
        <w:t>Les 9 pages produit (produit-fraise.html, etc.) n’ont pas de fil d’Ariane. L’utilisateur qui arrive via Google ne sait pas où il est dans l’arborescence. C’est aussi un signal SEO positif (rich snippets).</w:t>
      </w:r>
    </w:p>
    <w:p>
      <w:pPr>
        <w:pStyle w:val="Heading2"/>
      </w:pPr>
      <w:r>
        <w:rPr>
          <w:color w:val="A8895C"/>
        </w:rPr>
        <w:t>2.3 Loi de Fitts &amp; Affordance des CTA</w:t>
      </w:r>
    </w:p>
    <w:p>
      <w:pPr>
        <w:spacing w:after="160"/>
      </w:pPr>
      <w:r>
        <w:rPr>
          <w:rFonts w:ascii="Calibri" w:hAnsi="Calibri"/>
          <w:b w:val="0"/>
          <w:i w:val="0"/>
          <w:color w:val="1A1714"/>
          <w:sz w:val="21"/>
        </w:rPr>
        <w:t>Les CTA principaux (btn-primary) ont un padding de 1.1rem × 2.4rem avec border-radius 999px. La surface de clic est correcte sur desktop (environ 44×48px), mais le font-size de 0.72rem (environ 11.5px) est en dessous du seuil de lisibilité mobile (WCAG 2.1 recommande 16px min pour le texte interactif). L’affordance est bonne : le bouton doré sur fond crème crée un contraste suffisant, et l’animation hover (slide de fond noir) renforce le feedback visuel.</w:t>
      </w:r>
    </w:p>
    <w:p>
      <w:pPr>
        <w:spacing w:after="40"/>
      </w:pPr>
      <w:r>
        <w:rPr>
          <w:rFonts w:ascii="Calibri" w:hAnsi="Calibri"/>
          <w:b/>
          <w:color w:val="E67E22"/>
          <w:sz w:val="20"/>
        </w:rPr>
        <w:t xml:space="preserve">[HAUTE] </w:t>
      </w:r>
      <w:r>
        <w:rPr>
          <w:rFonts w:ascii="Calibri" w:hAnsi="Calibri"/>
          <w:b/>
          <w:sz w:val="21"/>
        </w:rPr>
        <w:t>Augmenter la taille du texte CTA sur mobile</w:t>
      </w:r>
    </w:p>
    <w:p>
      <w:pPr>
        <w:spacing w:after="200"/>
        <w:ind w:left="432"/>
      </w:pPr>
      <w:r>
        <w:rPr>
          <w:rFonts w:ascii="Calibri" w:hAnsi="Calibri"/>
          <w:color w:val="6B6560"/>
          <w:sz w:val="20"/>
        </w:rPr>
        <w:t>Passer le font-size des .btn-primary à 0.8rem minimum (12.8px) sur mobile, et s’assurer que la zone tactile respecte les 48×48px recommandés par Material Design / Apple HIG.</w:t>
      </w:r>
    </w:p>
    <w:p>
      <w:r>
        <w:br w:type="page"/>
      </w:r>
    </w:p>
    <w:p>
      <w:pPr>
        <w:pStyle w:val="Heading1"/>
      </w:pPr>
      <w:r>
        <w:rPr>
          <w:color w:val="A8895C"/>
        </w:rPr>
        <w:t>3. Audit UI &amp; Branding</w:t>
      </w:r>
    </w:p>
    <w:p>
      <w:pPr>
        <w:spacing w:after="240"/>
      </w:pPr>
      <w:r>
        <w:rPr>
          <w:rFonts w:ascii="Calibri" w:hAnsi="Calibri"/>
          <w:b/>
          <w:i w:val="0"/>
          <w:color w:val="27AE60"/>
          <w:sz w:val="24"/>
        </w:rPr>
        <w:t>Score : 8.5/10</w:t>
      </w:r>
    </w:p>
    <w:p>
      <w:pPr>
        <w:pStyle w:val="Heading2"/>
      </w:pPr>
      <w:r>
        <w:rPr>
          <w:color w:val="A8895C"/>
        </w:rPr>
        <w:t>3.1 Système typographique</w:t>
      </w:r>
    </w:p>
    <w:p>
      <w:pPr>
        <w:spacing w:after="120"/>
      </w:pPr>
      <w:r>
        <w:rPr>
          <w:rFonts w:ascii="Calibri" w:hAnsi="Calibri"/>
          <w:b w:val="0"/>
          <w:i w:val="0"/>
          <w:color w:val="1A1714"/>
          <w:sz w:val="21"/>
        </w:rPr>
        <w:t>L’écosystème typographique est remarquablement cohérent et bien hiérarchisé :</w:t>
      </w:r>
    </w:p>
    <w:tbl>
      <w:tblPr>
        <w:tblStyle w:val="TableGrid"/>
        <w:tblW w:type="auto" w:w="0"/>
        <w:tblLook w:firstColumn="1" w:firstRow="1" w:lastColumn="0" w:lastRow="0" w:noHBand="0" w:noVBand="1" w:val="04A0"/>
      </w:tblPr>
      <w:tblGrid>
        <w:gridCol w:w="3010"/>
        <w:gridCol w:w="3010"/>
        <w:gridCol w:w="3010"/>
      </w:tblGrid>
      <w:tr>
        <w:tc>
          <w:tcPr>
            <w:tcW w:type="dxa" w:w="3010"/>
            <w:shd w:fill="A8895C" w:val="clear"/>
          </w:tcPr>
          <w:p>
            <w:r/>
            <w:r>
              <w:rPr>
                <w:b/>
                <w:color w:val="FFFFFF"/>
                <w:sz w:val="18"/>
              </w:rPr>
              <w:t>Police</w:t>
            </w:r>
          </w:p>
        </w:tc>
        <w:tc>
          <w:tcPr>
            <w:tcW w:type="dxa" w:w="3010"/>
            <w:shd w:fill="A8895C" w:val="clear"/>
          </w:tcPr>
          <w:p>
            <w:r/>
            <w:r>
              <w:rPr>
                <w:b/>
                <w:color w:val="FFFFFF"/>
                <w:sz w:val="18"/>
              </w:rPr>
              <w:t>Usage</w:t>
            </w:r>
          </w:p>
        </w:tc>
        <w:tc>
          <w:tcPr>
            <w:tcW w:type="dxa" w:w="3010"/>
            <w:shd w:fill="A8895C" w:val="clear"/>
          </w:tcPr>
          <w:p>
            <w:r/>
            <w:r>
              <w:rPr>
                <w:b/>
                <w:color w:val="FFFFFF"/>
                <w:sz w:val="18"/>
              </w:rPr>
              <w:t>Verdict</w:t>
            </w:r>
          </w:p>
        </w:tc>
      </w:tr>
      <w:tr>
        <w:tc>
          <w:tcPr>
            <w:tcW w:type="dxa" w:w="3010"/>
          </w:tcPr>
          <w:p>
            <w:r/>
            <w:r>
              <w:rPr>
                <w:rFonts w:ascii="Calibri" w:hAnsi="Calibri"/>
                <w:sz w:val="18"/>
              </w:rPr>
              <w:t>Cormorant Garamond</w:t>
            </w:r>
          </w:p>
        </w:tc>
        <w:tc>
          <w:tcPr>
            <w:tcW w:type="dxa" w:w="3010"/>
          </w:tcPr>
          <w:p>
            <w:r/>
            <w:r>
              <w:rPr>
                <w:rFonts w:ascii="Calibri" w:hAnsi="Calibri"/>
                <w:sz w:val="18"/>
              </w:rPr>
              <w:t>Titres, h1-h2, noms produits</w:t>
            </w:r>
          </w:p>
        </w:tc>
        <w:tc>
          <w:tcPr>
            <w:tcW w:type="dxa" w:w="3010"/>
          </w:tcPr>
          <w:p>
            <w:r/>
            <w:r>
              <w:rPr>
                <w:rFonts w:ascii="Calibri" w:hAnsi="Calibri"/>
                <w:sz w:val="18"/>
              </w:rPr>
              <w:t>Excellent choix. Serif élégant, poids 300 = légèreté luxueuse. Italique pour les accents dorés.</w:t>
            </w:r>
          </w:p>
        </w:tc>
      </w:tr>
      <w:tr>
        <w:tc>
          <w:tcPr>
            <w:tcW w:type="dxa" w:w="3010"/>
          </w:tcPr>
          <w:p>
            <w:r/>
            <w:r>
              <w:rPr>
                <w:rFonts w:ascii="Calibri" w:hAnsi="Calibri"/>
                <w:sz w:val="18"/>
              </w:rPr>
              <w:t>Outfit</w:t>
            </w:r>
          </w:p>
        </w:tc>
        <w:tc>
          <w:tcPr>
            <w:tcW w:type="dxa" w:w="3010"/>
          </w:tcPr>
          <w:p>
            <w:r/>
            <w:r>
              <w:rPr>
                <w:rFonts w:ascii="Calibri" w:hAnsi="Calibri"/>
                <w:sz w:val="18"/>
              </w:rPr>
              <w:t>Corps de texte, descriptions</w:t>
            </w:r>
          </w:p>
        </w:tc>
        <w:tc>
          <w:tcPr>
            <w:tcW w:type="dxa" w:w="3010"/>
          </w:tcPr>
          <w:p>
            <w:r/>
            <w:r>
              <w:rPr>
                <w:rFonts w:ascii="Calibri" w:hAnsi="Calibri"/>
                <w:sz w:val="18"/>
              </w:rPr>
              <w:t>Sans-serif géométrique moderne, bonne lisibilité en petite taille. Contrebalance le côté classique du Cormorant.</w:t>
            </w:r>
          </w:p>
        </w:tc>
      </w:tr>
      <w:tr>
        <w:tc>
          <w:tcPr>
            <w:tcW w:type="dxa" w:w="3010"/>
          </w:tcPr>
          <w:p>
            <w:r/>
            <w:r>
              <w:rPr>
                <w:rFonts w:ascii="Calibri" w:hAnsi="Calibri"/>
                <w:sz w:val="18"/>
              </w:rPr>
              <w:t>JetBrains Mono</w:t>
            </w:r>
          </w:p>
        </w:tc>
        <w:tc>
          <w:tcPr>
            <w:tcW w:type="dxa" w:w="3010"/>
          </w:tcPr>
          <w:p>
            <w:r/>
            <w:r>
              <w:rPr>
                <w:rFonts w:ascii="Calibri" w:hAnsi="Calibri"/>
                <w:sz w:val="18"/>
              </w:rPr>
              <w:t>Eyebrows, prix, étiquettes</w:t>
            </w:r>
          </w:p>
        </w:tc>
        <w:tc>
          <w:tcPr>
            <w:tcW w:type="dxa" w:w="3010"/>
          </w:tcPr>
          <w:p>
            <w:r/>
            <w:r>
              <w:rPr>
                <w:rFonts w:ascii="Calibri" w:hAnsi="Calibri"/>
                <w:sz w:val="18"/>
              </w:rPr>
              <w:t>Choix audacieux et distinctif. La monospace donne un côté « technique/atelier » qui renforce le positionnement artisanal.</w:t>
            </w:r>
          </w:p>
        </w:tc>
      </w:tr>
    </w:tbl>
    <w:p/>
    <w:p>
      <w:pPr>
        <w:spacing w:after="240"/>
      </w:pPr>
      <w:r>
        <w:rPr>
          <w:rFonts w:ascii="Calibri" w:hAnsi="Calibri"/>
          <w:b w:val="0"/>
          <w:i w:val="0"/>
          <w:color w:val="1A1714"/>
          <w:sz w:val="21"/>
        </w:rPr>
        <w:t>Point d’attention : le site charge 3 familles Google Fonts avec 10+ variantes au total. Impact sur le First Contentful Paint (FCP). Recommandation : subset les polices aux caractères latins utilisés, ou self-hoster les fichiers woff2 pour éliminer la dépendance Google Fonts.</w:t>
      </w:r>
    </w:p>
    <w:p>
      <w:pPr>
        <w:pStyle w:val="Heading2"/>
      </w:pPr>
      <w:r>
        <w:rPr>
          <w:color w:val="A8895C"/>
        </w:rPr>
        <w:t>3.2 Palette de couleurs</w:t>
      </w:r>
    </w:p>
    <w:p>
      <w:pPr>
        <w:spacing w:after="120"/>
      </w:pPr>
      <w:r>
        <w:rPr>
          <w:rFonts w:ascii="Calibri" w:hAnsi="Calibri"/>
          <w:b w:val="0"/>
          <w:i w:val="0"/>
          <w:color w:val="1A1714"/>
          <w:sz w:val="21"/>
        </w:rPr>
        <w:t>La palette est minimaliste et raffinée, articulée autour de 5 tokens CSS :</w:t>
      </w:r>
    </w:p>
    <w:tbl>
      <w:tblPr>
        <w:tblStyle w:val="TableGrid"/>
        <w:tblW w:type="auto" w:w="0"/>
        <w:tblLook w:firstColumn="1" w:firstRow="1" w:lastColumn="0" w:lastRow="0" w:noHBand="0" w:noVBand="1" w:val="04A0"/>
      </w:tblPr>
      <w:tblGrid>
        <w:gridCol w:w="3010"/>
        <w:gridCol w:w="3010"/>
        <w:gridCol w:w="3010"/>
      </w:tblGrid>
      <w:tr>
        <w:tc>
          <w:tcPr>
            <w:tcW w:type="dxa" w:w="3010"/>
            <w:shd w:fill="1A1714" w:val="clear"/>
          </w:tcPr>
          <w:p>
            <w:r/>
            <w:r>
              <w:rPr>
                <w:b/>
                <w:color w:val="FFFFFF"/>
                <w:sz w:val="18"/>
              </w:rPr>
              <w:t>Token</w:t>
            </w:r>
          </w:p>
        </w:tc>
        <w:tc>
          <w:tcPr>
            <w:tcW w:type="dxa" w:w="3010"/>
            <w:shd w:fill="1A1714" w:val="clear"/>
          </w:tcPr>
          <w:p>
            <w:r/>
            <w:r>
              <w:rPr>
                <w:b/>
                <w:color w:val="FFFFFF"/>
                <w:sz w:val="18"/>
              </w:rPr>
              <w:t>Hex</w:t>
            </w:r>
          </w:p>
        </w:tc>
        <w:tc>
          <w:tcPr>
            <w:tcW w:type="dxa" w:w="3010"/>
            <w:shd w:fill="1A1714" w:val="clear"/>
          </w:tcPr>
          <w:p>
            <w:r/>
            <w:r>
              <w:rPr>
                <w:b/>
                <w:color w:val="FFFFFF"/>
                <w:sz w:val="18"/>
              </w:rPr>
              <w:t>Rôle</w:t>
            </w:r>
          </w:p>
        </w:tc>
      </w:tr>
      <w:tr>
        <w:tc>
          <w:tcPr>
            <w:tcW w:type="dxa" w:w="3010"/>
          </w:tcPr>
          <w:p>
            <w:r/>
            <w:r>
              <w:rPr>
                <w:rFonts w:ascii="Calibri" w:hAnsi="Calibri"/>
                <w:sz w:val="18"/>
              </w:rPr>
              <w:t>--cream</w:t>
            </w:r>
          </w:p>
        </w:tc>
        <w:tc>
          <w:tcPr>
            <w:tcW w:type="dxa" w:w="3010"/>
          </w:tcPr>
          <w:p>
            <w:r/>
            <w:r>
              <w:rPr>
                <w:rFonts w:ascii="Calibri" w:hAnsi="Calibri"/>
                <w:sz w:val="18"/>
              </w:rPr>
              <w:t>#FAF5EF</w:t>
            </w:r>
          </w:p>
        </w:tc>
        <w:tc>
          <w:tcPr>
            <w:tcW w:type="dxa" w:w="3010"/>
          </w:tcPr>
          <w:p>
            <w:r/>
            <w:r>
              <w:rPr>
                <w:rFonts w:ascii="Calibri" w:hAnsi="Calibri"/>
                <w:sz w:val="18"/>
              </w:rPr>
              <w:t>Fond principal — évoque le papier vélin, le luxe discret</w:t>
            </w:r>
          </w:p>
        </w:tc>
      </w:tr>
      <w:tr>
        <w:tc>
          <w:tcPr>
            <w:tcW w:type="dxa" w:w="3010"/>
          </w:tcPr>
          <w:p>
            <w:r/>
            <w:r>
              <w:rPr>
                <w:rFonts w:ascii="Calibri" w:hAnsi="Calibri"/>
                <w:sz w:val="18"/>
              </w:rPr>
              <w:t>--ink</w:t>
            </w:r>
          </w:p>
        </w:tc>
        <w:tc>
          <w:tcPr>
            <w:tcW w:type="dxa" w:w="3010"/>
          </w:tcPr>
          <w:p>
            <w:r/>
            <w:r>
              <w:rPr>
                <w:rFonts w:ascii="Calibri" w:hAnsi="Calibri"/>
                <w:sz w:val="18"/>
              </w:rPr>
              <w:t>#1A1714</w:t>
            </w:r>
          </w:p>
        </w:tc>
        <w:tc>
          <w:tcPr>
            <w:tcW w:type="dxa" w:w="3010"/>
          </w:tcPr>
          <w:p>
            <w:r/>
            <w:r>
              <w:rPr>
                <w:rFonts w:ascii="Calibri" w:hAnsi="Calibri"/>
                <w:sz w:val="18"/>
              </w:rPr>
              <w:t>Texte principal — noir chaud, moins agressif qu’un #000</w:t>
            </w:r>
          </w:p>
        </w:tc>
      </w:tr>
      <w:tr>
        <w:tc>
          <w:tcPr>
            <w:tcW w:type="dxa" w:w="3010"/>
          </w:tcPr>
          <w:p>
            <w:r/>
            <w:r>
              <w:rPr>
                <w:rFonts w:ascii="Calibri" w:hAnsi="Calibri"/>
                <w:sz w:val="18"/>
              </w:rPr>
              <w:t>--gold</w:t>
            </w:r>
          </w:p>
        </w:tc>
        <w:tc>
          <w:tcPr>
            <w:tcW w:type="dxa" w:w="3010"/>
          </w:tcPr>
          <w:p>
            <w:r/>
            <w:r>
              <w:rPr>
                <w:rFonts w:ascii="Calibri" w:hAnsi="Calibri"/>
                <w:sz w:val="18"/>
              </w:rPr>
              <w:t>#A8895C</w:t>
            </w:r>
          </w:p>
        </w:tc>
        <w:tc>
          <w:tcPr>
            <w:tcW w:type="dxa" w:w="3010"/>
          </w:tcPr>
          <w:p>
            <w:r/>
            <w:r>
              <w:rPr>
                <w:rFonts w:ascii="Calibri" w:hAnsi="Calibri"/>
                <w:sz w:val="18"/>
              </w:rPr>
              <w:t>Accent principal — ancrage chromatique luxe, CTA</w:t>
            </w:r>
          </w:p>
        </w:tc>
      </w:tr>
      <w:tr>
        <w:tc>
          <w:tcPr>
            <w:tcW w:type="dxa" w:w="3010"/>
          </w:tcPr>
          <w:p>
            <w:r/>
            <w:r>
              <w:rPr>
                <w:rFonts w:ascii="Calibri" w:hAnsi="Calibri"/>
                <w:sz w:val="18"/>
              </w:rPr>
              <w:t>--gold-light</w:t>
            </w:r>
          </w:p>
        </w:tc>
        <w:tc>
          <w:tcPr>
            <w:tcW w:type="dxa" w:w="3010"/>
          </w:tcPr>
          <w:p>
            <w:r/>
            <w:r>
              <w:rPr>
                <w:rFonts w:ascii="Calibri" w:hAnsi="Calibri"/>
                <w:sz w:val="18"/>
              </w:rPr>
              <w:t>#C9AA7C</w:t>
            </w:r>
          </w:p>
        </w:tc>
        <w:tc>
          <w:tcPr>
            <w:tcW w:type="dxa" w:w="3010"/>
          </w:tcPr>
          <w:p>
            <w:r/>
            <w:r>
              <w:rPr>
                <w:rFonts w:ascii="Calibri" w:hAnsi="Calibri"/>
                <w:sz w:val="18"/>
              </w:rPr>
              <w:t>Accent secondaire — italiques, hover states</w:t>
            </w:r>
          </w:p>
        </w:tc>
      </w:tr>
      <w:tr>
        <w:tc>
          <w:tcPr>
            <w:tcW w:type="dxa" w:w="3010"/>
          </w:tcPr>
          <w:p>
            <w:r/>
            <w:r>
              <w:rPr>
                <w:rFonts w:ascii="Calibri" w:hAnsi="Calibri"/>
                <w:sz w:val="18"/>
              </w:rPr>
              <w:t>--ink-muted</w:t>
            </w:r>
          </w:p>
        </w:tc>
        <w:tc>
          <w:tcPr>
            <w:tcW w:type="dxa" w:w="3010"/>
          </w:tcPr>
          <w:p>
            <w:r/>
            <w:r>
              <w:rPr>
                <w:rFonts w:ascii="Calibri" w:hAnsi="Calibri"/>
                <w:sz w:val="18"/>
              </w:rPr>
              <w:t>#6B6560</w:t>
            </w:r>
          </w:p>
        </w:tc>
        <w:tc>
          <w:tcPr>
            <w:tcW w:type="dxa" w:w="3010"/>
          </w:tcPr>
          <w:p>
            <w:r/>
            <w:r>
              <w:rPr>
                <w:rFonts w:ascii="Calibri" w:hAnsi="Calibri"/>
                <w:sz w:val="18"/>
              </w:rPr>
              <w:t>Texte secondaire — descriptions, labels</w:t>
            </w:r>
          </w:p>
        </w:tc>
      </w:tr>
    </w:tbl>
    <w:p/>
    <w:p>
      <w:pPr>
        <w:spacing w:after="160"/>
      </w:pPr>
      <w:r>
        <w:rPr>
          <w:rFonts w:ascii="Calibri" w:hAnsi="Calibri"/>
          <w:b w:val="0"/>
          <w:i w:val="0"/>
          <w:color w:val="1A1714"/>
          <w:sz w:val="21"/>
        </w:rPr>
        <w:t>Verdict : la palette est cohérente et évoque effectivement le luxe artisanal. Le ratio de contraste --ink sur --cream est d’environ 14:1 (excellent). Le --gold sur --cream est d’environ 3.2:1, ce qui est insuffisant pour du texte small (les eyebrows en 0.58rem doré sur crème échouent au test WCAG AA).</w:t>
      </w:r>
    </w:p>
    <w:p>
      <w:pPr>
        <w:spacing w:after="40"/>
      </w:pPr>
      <w:r>
        <w:rPr>
          <w:rFonts w:ascii="Calibri" w:hAnsi="Calibri"/>
          <w:b/>
          <w:color w:val="E67E22"/>
          <w:sz w:val="20"/>
        </w:rPr>
        <w:t xml:space="preserve">[HAUTE] </w:t>
      </w:r>
      <w:r>
        <w:rPr>
          <w:rFonts w:ascii="Calibri" w:hAnsi="Calibri"/>
          <w:b/>
          <w:sz w:val="21"/>
        </w:rPr>
        <w:t>Contraste WCAG des eyebrows</w:t>
      </w:r>
    </w:p>
    <w:p>
      <w:pPr>
        <w:spacing w:after="200"/>
        <w:ind w:left="432"/>
      </w:pPr>
      <w:r>
        <w:rPr>
          <w:rFonts w:ascii="Calibri" w:hAnsi="Calibri"/>
          <w:color w:val="6B6560"/>
          <w:sz w:val="20"/>
        </w:rPr>
        <w:t>Le gold #A8895C sur cream #FAF5EF a un ratio de 3.2:1. WCAG AA exige 4.5:1 pour le texte small. Solution : assombrir le gold des eyebrows à #8A6D3B (ratio 5.1:1) ou augmenter leur taille à 0.7rem+ pour passer en WCAG AA Large Text (ratio 3:1 suffisant).</w:t>
      </w:r>
    </w:p>
    <w:p>
      <w:pPr>
        <w:pStyle w:val="Heading2"/>
      </w:pPr>
      <w:r>
        <w:rPr>
          <w:color w:val="A8895C"/>
        </w:rPr>
        <w:t>3.3 Hiérarchie visuelle &amp; Espaces blancs</w:t>
      </w:r>
    </w:p>
    <w:p>
      <w:pPr>
        <w:spacing w:after="160"/>
      </w:pPr>
      <w:r>
        <w:rPr>
          <w:rFonts w:ascii="Calibri" w:hAnsi="Calibri"/>
          <w:b w:val="0"/>
          <w:i w:val="0"/>
          <w:color w:val="1A1714"/>
          <w:sz w:val="21"/>
        </w:rPr>
        <w:t>Le design utilise l’espace blanc comme outil de luxe — c’est une approche validée par les maisons comme Hermès ou Céline. Mais il y a un point de basculement : trop d’espace blanc ne dit plus « luxe », il dit « contenu manquant ». La homepage franchit cette limite entre la section vidéo et la section témoignages, et entre le fondateur et le bloc garanties.</w:t>
      </w:r>
    </w:p>
    <w:p>
      <w:pPr>
        <w:spacing w:after="160"/>
      </w:pPr>
      <w:r>
        <w:rPr>
          <w:rFonts w:ascii="Calibri" w:hAnsi="Calibri"/>
          <w:b w:val="0"/>
          <w:i w:val="0"/>
          <w:color w:val="1A1714"/>
          <w:sz w:val="21"/>
        </w:rPr>
        <w:t>L’effet grain SVG en overlay (body::after avec feTurbulence) est une touche raffinée qui ajoute une texture organique au fond crème. Le gradient de masque en haut de page (body::before) crée une transition douce avec la navbar flottante. Ces détails sont le signe d’une DA soignée.</w:t>
      </w:r>
    </w:p>
    <w:p>
      <w:pPr>
        <w:pStyle w:val="Heading2"/>
      </w:pPr>
      <w:r>
        <w:rPr>
          <w:color w:val="A8895C"/>
        </w:rPr>
        <w:t>3.4 Le design évoque-t-il le luxe ?</w:t>
      </w:r>
    </w:p>
    <w:p>
      <w:pPr>
        <w:spacing w:after="240"/>
      </w:pPr>
      <w:r>
        <w:rPr>
          <w:rFonts w:ascii="Calibri" w:hAnsi="Calibri"/>
          <w:b w:val="0"/>
          <w:i w:val="0"/>
          <w:color w:val="1A1714"/>
          <w:sz w:val="21"/>
        </w:rPr>
        <w:t>OUI, avec des nuances. Le site atteint un niveau « luxe accessible » plutôt que « luxe absolu ». Ce qui fonctionne : la palette crème/or, la typographie Cormorant, les animations GSAP subtiles, le grain texturé, la navbar glassmorphism (backdrop-filter blur). Ce qui manque pour le « tier supérieur » : des micro-interactions plus poussées sur les produits (rotation 3D, zoom progressif au scroll), une vidéo de marque cinématique (pas seulement un loop de découpe), et une typographie display custom (au lieu de Google Fonts).</w:t>
      </w:r>
    </w:p>
    <w:p>
      <w:r>
        <w:br w:type="page"/>
      </w:r>
    </w:p>
    <w:p>
      <w:pPr>
        <w:pStyle w:val="Heading1"/>
      </w:pPr>
      <w:r>
        <w:rPr>
          <w:color w:val="A8895C"/>
        </w:rPr>
        <w:t>4. Audit Marketing &amp; Psychologie de la Persuasion</w:t>
      </w:r>
    </w:p>
    <w:p>
      <w:pPr>
        <w:spacing w:after="240"/>
      </w:pPr>
      <w:r>
        <w:rPr>
          <w:rFonts w:ascii="Calibri" w:hAnsi="Calibri"/>
          <w:b/>
          <w:i w:val="0"/>
          <w:color w:val="E67E22"/>
          <w:sz w:val="24"/>
        </w:rPr>
        <w:t>Score : 7/10</w:t>
      </w:r>
    </w:p>
    <w:p>
      <w:pPr>
        <w:pStyle w:val="Heading2"/>
      </w:pPr>
      <w:r>
        <w:rPr>
          <w:color w:val="A8895C"/>
        </w:rPr>
        <w:t>4.1 Preuves sociales (Social Proof)</w:t>
      </w:r>
    </w:p>
    <w:p>
      <w:pPr>
        <w:spacing w:after="120"/>
      </w:pPr>
      <w:r>
        <w:rPr>
          <w:rFonts w:ascii="Calibri" w:hAnsi="Calibri"/>
          <w:b w:val="0"/>
          <w:i w:val="0"/>
          <w:color w:val="1A1714"/>
          <w:sz w:val="21"/>
        </w:rPr>
        <w:t>Progrès majeur depuis la V1 : le site intègre désormais 3 témoignages business avec métriques (« +45% contenu Instagram », « +30% ticket dessert », « Rentable dès le 1er mois »). C’est exactement le type de preuve sociale qui convertit en B2B : des résultats chiffrés, pas juste des avis émotionnels.</w:t>
      </w:r>
    </w:p>
    <w:p>
      <w:pPr>
        <w:spacing w:after="160"/>
      </w:pPr>
      <w:r>
        <w:rPr>
          <w:rFonts w:ascii="Calibri" w:hAnsi="Calibri"/>
          <w:b w:val="0"/>
          <w:i w:val="0"/>
          <w:color w:val="1A1714"/>
          <w:sz w:val="21"/>
        </w:rPr>
        <w:t>La section presse (« Vu dans ») avec La Provence et Bouches-du-Rhône Entreprendre ajoute de l’autorité locale. Le bandeau logos partenaires (7 établissements) renforce la crédibilité.</w:t>
      </w:r>
    </w:p>
    <w:p>
      <w:pPr>
        <w:spacing w:after="40"/>
      </w:pPr>
      <w:r>
        <w:rPr>
          <w:rFonts w:ascii="Calibri" w:hAnsi="Calibri"/>
          <w:b/>
          <w:color w:val="A8895C"/>
          <w:sz w:val="20"/>
        </w:rPr>
        <w:t xml:space="preserve">[MOYENNE] </w:t>
      </w:r>
      <w:r>
        <w:rPr>
          <w:rFonts w:ascii="Calibri" w:hAnsi="Calibri"/>
          <w:b/>
          <w:sz w:val="21"/>
        </w:rPr>
        <w:t>Enrichir les témoignages avec des photos de chefs/gérants</w:t>
      </w:r>
    </w:p>
    <w:p>
      <w:pPr>
        <w:spacing w:after="200"/>
        <w:ind w:left="432"/>
      </w:pPr>
      <w:r>
        <w:rPr>
          <w:rFonts w:ascii="Calibri" w:hAnsi="Calibri"/>
          <w:color w:val="6B6560"/>
          <w:sz w:val="20"/>
        </w:rPr>
        <w:t>Les témoignages utilisent les logos des établissements comme avatars. Pour maximiser la connexion humaine, ajouter la photo du chef/gérant qui parle. Un visage humain augmente la confiance de 35% (source : Nielsen Norman Group).</w:t>
      </w:r>
    </w:p>
    <w:p>
      <w:pPr>
        <w:pStyle w:val="Heading2"/>
      </w:pPr>
      <w:r>
        <w:rPr>
          <w:color w:val="A8895C"/>
        </w:rPr>
        <w:t>4.2 Réassurance</w:t>
      </w:r>
    </w:p>
    <w:p>
      <w:pPr>
        <w:spacing w:after="160"/>
      </w:pPr>
      <w:r>
        <w:rPr>
          <w:rFonts w:ascii="Calibri" w:hAnsi="Calibri"/>
          <w:b w:val="0"/>
          <w:i w:val="0"/>
          <w:color w:val="1A1714"/>
          <w:sz w:val="21"/>
        </w:rPr>
        <w:t>Le bloc garanties (4 items : dégustation gratuite, réponse 24h, livraison chambre froide, remplacement garanti) est bien positionné avant le formulaire de contact. La barre sticky répète les 3 arguments clés. La FAQ enrichie répond aux objections psychologiques clés (« Et si mes clients n’aiment pas ? », « Comment justifier le prix ? »). C’est du CRO intelligent.</w:t>
      </w:r>
    </w:p>
    <w:p>
      <w:pPr>
        <w:pStyle w:val="Heading2"/>
      </w:pPr>
      <w:r>
        <w:rPr>
          <w:color w:val="A8895C"/>
        </w:rPr>
        <w:t>4.3 Levier de Rareté</w:t>
      </w:r>
    </w:p>
    <w:p>
      <w:pPr>
        <w:spacing w:after="160"/>
      </w:pPr>
      <w:r>
        <w:rPr>
          <w:rFonts w:ascii="Calibri" w:hAnsi="Calibri"/>
          <w:b w:val="0"/>
          <w:i w:val="0"/>
          <w:color w:val="1A1714"/>
          <w:sz w:val="21"/>
        </w:rPr>
        <w:t>ABSENT. C’est le trou béant du site. Aucun levier de rareté ou d’urgence n’est utilisé. Pas de collection limitée, pas de saisonnalité affichée, pas de « places restantes », pas de « prochaine date de livraison ». Pour une marque artisanale, la rareté est un levier naturel et crédible.</w:t>
      </w:r>
    </w:p>
    <w:p>
      <w:pPr>
        <w:spacing w:after="40"/>
      </w:pPr>
      <w:r>
        <w:rPr>
          <w:rFonts w:ascii="Calibri" w:hAnsi="Calibri"/>
          <w:b/>
          <w:color w:val="E67E22"/>
          <w:sz w:val="20"/>
        </w:rPr>
        <w:t xml:space="preserve">[HAUTE] </w:t>
      </w:r>
      <w:r>
        <w:rPr>
          <w:rFonts w:ascii="Calibri" w:hAnsi="Calibri"/>
          <w:b/>
          <w:sz w:val="21"/>
        </w:rPr>
        <w:t>Introduire des éléments de rareté authentique</w:t>
      </w:r>
    </w:p>
    <w:p>
      <w:pPr>
        <w:spacing w:after="200"/>
        <w:ind w:left="432"/>
      </w:pPr>
      <w:r>
        <w:rPr>
          <w:rFonts w:ascii="Calibri" w:hAnsi="Calibri"/>
          <w:color w:val="6B6560"/>
          <w:sz w:val="20"/>
        </w:rPr>
        <w:t>Collection saisonnière : « Fruits d’été — disponibles jusqu’au 30 septembre ». Capacité limitée : « 3 créneaux partenaires restants ce mois-ci ». Séries limitées : « La Truffe Noire — Édition 50 pièces ». Ces éléments sont crédibles pour un artisan et créent un sentiment d’urgence naturel.</w:t>
      </w:r>
    </w:p>
    <w:p>
      <w:pPr>
        <w:pStyle w:val="Heading2"/>
      </w:pPr>
      <w:r>
        <w:rPr>
          <w:color w:val="A8895C"/>
        </w:rPr>
        <w:t>4.4 Levier d’Autorité</w:t>
      </w:r>
    </w:p>
    <w:p>
      <w:pPr>
        <w:spacing w:after="160"/>
      </w:pPr>
      <w:r>
        <w:rPr>
          <w:rFonts w:ascii="Calibri" w:hAnsi="Calibri"/>
          <w:b w:val="0"/>
          <w:i w:val="0"/>
          <w:color w:val="1A1714"/>
          <w:sz w:val="21"/>
        </w:rPr>
        <w:t>Le storytelling fondateur (Hamza Hamdi, chef pâtissier) est bien intégré. La page « Notre Histoire » ajoute de la profondeur. Cependant, l’autorité technique (formations, distinctions, parcours en palaces parisiens mentionné dans le PDF) n’est pas suffisamment mise en avant sur le site.</w:t>
      </w:r>
    </w:p>
    <w:p>
      <w:pPr>
        <w:spacing w:after="40"/>
      </w:pPr>
      <w:r>
        <w:rPr>
          <w:rFonts w:ascii="Calibri" w:hAnsi="Calibri"/>
          <w:b/>
          <w:color w:val="A8895C"/>
          <w:sz w:val="20"/>
        </w:rPr>
        <w:t xml:space="preserve">[MOYENNE] </w:t>
      </w:r>
      <w:r>
        <w:rPr>
          <w:rFonts w:ascii="Calibri" w:hAnsi="Calibri"/>
          <w:b/>
          <w:sz w:val="21"/>
        </w:rPr>
        <w:t>Renforcer l’autorité du fondateur</w:t>
      </w:r>
    </w:p>
    <w:p>
      <w:pPr>
        <w:spacing w:after="200"/>
        <w:ind w:left="432"/>
      </w:pPr>
      <w:r>
        <w:rPr>
          <w:rFonts w:ascii="Calibri" w:hAnsi="Calibri"/>
          <w:color w:val="6B6560"/>
          <w:sz w:val="20"/>
        </w:rPr>
        <w:t>Mentionner les formations spécifiques, les maîtres pâtissiers de référence, et le lien avec les palaces parisiens (le PDF mentionne cette filiation). Ajouter des badges : « Formé aux techniques des Palaces », « Méthode artisanale 100% Marseille ».</w:t>
      </w:r>
    </w:p>
    <w:p>
      <w:pPr>
        <w:pStyle w:val="Heading2"/>
      </w:pPr>
      <w:r>
        <w:rPr>
          <w:color w:val="A8895C"/>
        </w:rPr>
        <w:t>4.5 Levier de Désirabilité</w:t>
      </w:r>
    </w:p>
    <w:p>
      <w:pPr>
        <w:spacing w:after="160"/>
      </w:pPr>
      <w:r>
        <w:rPr>
          <w:rFonts w:ascii="Calibri" w:hAnsi="Calibri"/>
          <w:b w:val="0"/>
          <w:i w:val="0"/>
          <w:color w:val="1A1714"/>
          <w:sz w:val="21"/>
        </w:rPr>
        <w:t>La vidéo ASMR de découpe est LE levier de désirabilité le plus puissant du site. Le format Instagram Reels intégré (avec overlay cœur, commentaire, partage et @maisonmirage) est brillant — il transforme le site en extension de l’expérience sociale. Mais une seule vidéo est insuffisante. Chaque page produit devrait avoir sa propre vidéo de découpe.</w:t>
      </w:r>
    </w:p>
    <w:p>
      <w:pPr>
        <w:spacing w:after="40"/>
      </w:pPr>
      <w:r>
        <w:rPr>
          <w:rFonts w:ascii="Calibri" w:hAnsi="Calibri"/>
          <w:b/>
          <w:color w:val="E67E22"/>
          <w:sz w:val="20"/>
        </w:rPr>
        <w:t xml:space="preserve">[HAUTE] </w:t>
      </w:r>
      <w:r>
        <w:rPr>
          <w:rFonts w:ascii="Calibri" w:hAnsi="Calibri"/>
          <w:b/>
          <w:sz w:val="21"/>
        </w:rPr>
        <w:t>Une vidéo de découpe par produit</w:t>
      </w:r>
    </w:p>
    <w:p>
      <w:pPr>
        <w:spacing w:after="200"/>
        <w:ind w:left="432"/>
      </w:pPr>
      <w:r>
        <w:rPr>
          <w:rFonts w:ascii="Calibri" w:hAnsi="Calibri"/>
          <w:color w:val="6B6560"/>
          <w:sz w:val="20"/>
        </w:rPr>
        <w:t>Produire 9 vidéos courtes (10-15s) montrant la découpe de chaque création. Les intégrer sur chaque page produit ET les réutiliser comme contenu social. Coût estimé : 1 journée de tournage. Impact : x3 sur le temps passé par page produit.</w:t>
      </w:r>
    </w:p>
    <w:p>
      <w:r>
        <w:br w:type="page"/>
      </w:r>
    </w:p>
    <w:p>
      <w:pPr>
        <w:pStyle w:val="Heading1"/>
      </w:pPr>
      <w:r>
        <w:rPr>
          <w:color w:val="A8895C"/>
        </w:rPr>
        <w:t>5. Analyse Technique &amp; Mobile</w:t>
      </w:r>
    </w:p>
    <w:p>
      <w:pPr>
        <w:spacing w:after="240"/>
      </w:pPr>
      <w:r>
        <w:rPr>
          <w:rFonts w:ascii="Calibri" w:hAnsi="Calibri"/>
          <w:b/>
          <w:i w:val="0"/>
          <w:color w:val="C0392B"/>
          <w:sz w:val="24"/>
        </w:rPr>
        <w:t>Score : 6/10</w:t>
      </w:r>
    </w:p>
    <w:p>
      <w:pPr>
        <w:pStyle w:val="Heading2"/>
      </w:pPr>
      <w:r>
        <w:rPr>
          <w:color w:val="A8895C"/>
        </w:rPr>
        <w:t>5.1 Performance &amp; Chargement</w:t>
      </w:r>
    </w:p>
    <w:p>
      <w:pPr>
        <w:spacing w:after="120"/>
      </w:pPr>
      <w:r>
        <w:rPr>
          <w:rFonts w:ascii="Calibri" w:hAnsi="Calibri"/>
          <w:b w:val="0"/>
          <w:i w:val="0"/>
          <w:color w:val="1A1714"/>
          <w:sz w:val="21"/>
        </w:rPr>
        <w:t>Problèmes identifiés dans le code source :</w:t>
      </w:r>
    </w:p>
    <w:p>
      <w:pPr>
        <w:spacing w:after="40"/>
      </w:pPr>
      <w:r>
        <w:rPr>
          <w:rFonts w:ascii="Calibri" w:hAnsi="Calibri"/>
          <w:b/>
          <w:color w:val="C0392B"/>
          <w:sz w:val="20"/>
        </w:rPr>
        <w:t xml:space="preserve">[CRITIQUE] </w:t>
      </w:r>
      <w:r>
        <w:rPr>
          <w:rFonts w:ascii="Calibri" w:hAnsi="Calibri"/>
          <w:b/>
          <w:sz w:val="21"/>
        </w:rPr>
        <w:t>Double chargement de scripts</w:t>
      </w:r>
    </w:p>
    <w:p>
      <w:pPr>
        <w:spacing w:after="200"/>
        <w:ind w:left="432"/>
      </w:pPr>
      <w:r>
        <w:rPr>
          <w:rFonts w:ascii="Calibri" w:hAnsi="Calibri"/>
          <w:color w:val="6B6560"/>
          <w:sz w:val="20"/>
        </w:rPr>
        <w:t>Le index.html charge deux fois le même script Cloudflare email-decode.min.js (à la ligne 711). GSAP + ScrollTrigger sont chargés en defer, ce qui est correct, mais Google Fonts charge 10+ variantes de 3 familles sans subsetting. Impact estimé : +200-400ms sur le FCP. Solution : self-hosting des fonts en woff2, suppression du doublon script.</w:t>
      </w:r>
    </w:p>
    <w:p>
      <w:pPr>
        <w:spacing w:after="40"/>
      </w:pPr>
      <w:r>
        <w:rPr>
          <w:rFonts w:ascii="Calibri" w:hAnsi="Calibri"/>
          <w:b/>
          <w:color w:val="E67E22"/>
          <w:sz w:val="20"/>
        </w:rPr>
        <w:t xml:space="preserve">[HAUTE] </w:t>
      </w:r>
      <w:r>
        <w:rPr>
          <w:rFonts w:ascii="Calibri" w:hAnsi="Calibri"/>
          <w:b/>
          <w:sz w:val="21"/>
        </w:rPr>
        <w:t>Images WebP mais pas de responsive srcset</w:t>
      </w:r>
    </w:p>
    <w:p>
      <w:pPr>
        <w:spacing w:after="200"/>
        <w:ind w:left="432"/>
      </w:pPr>
      <w:r>
        <w:rPr>
          <w:rFonts w:ascii="Calibri" w:hAnsi="Calibri"/>
          <w:color w:val="6B6560"/>
          <w:sz w:val="20"/>
        </w:rPr>
        <w:t>Le site utilise le format WebP (bon), mais aucune image ne dispose d’un attribut srcset pour servir des tailles adaptées. Une image produit de 400×400 est servie identique sur un iPhone SE (320px) et un écran 4K. Solution : générer des variantes 200w, 400w, 800w et utiliser srcset + sizes.</w:t>
      </w:r>
    </w:p>
    <w:p>
      <w:pPr>
        <w:spacing w:after="40"/>
      </w:pPr>
      <w:r>
        <w:rPr>
          <w:rFonts w:ascii="Calibri" w:hAnsi="Calibri"/>
          <w:b/>
          <w:color w:val="E67E22"/>
          <w:sz w:val="20"/>
        </w:rPr>
        <w:t xml:space="preserve">[HAUTE] </w:t>
      </w:r>
      <w:r>
        <w:rPr>
          <w:rFonts w:ascii="Calibri" w:hAnsi="Calibri"/>
          <w:b/>
          <w:sz w:val="21"/>
        </w:rPr>
        <w:t>Vidéo hero chargée en autoplay sans poster optimisé</w:t>
      </w:r>
    </w:p>
    <w:p>
      <w:pPr>
        <w:spacing w:after="200"/>
        <w:ind w:left="432"/>
      </w:pPr>
      <w:r>
        <w:rPr>
          <w:rFonts w:ascii="Calibri" w:hAnsi="Calibri"/>
          <w:color w:val="6B6560"/>
          <w:sz w:val="20"/>
        </w:rPr>
        <w:t>La vidéo hero (peche-decoupe.mp4) est en autoplay muted loop, ce qui est le bon pattern. Mais le poster (hero-flatlay.webp) est preloadé ET la vidéo est en fetchpriority="high". Sur une connexion lente, les deux se disputent la bande passante. Solution : preload uniquement le poster, lazy-load la vidéo après le FCP.</w:t>
      </w:r>
    </w:p>
    <w:p>
      <w:pPr>
        <w:pStyle w:val="Heading2"/>
      </w:pPr>
      <w:r>
        <w:rPr>
          <w:color w:val="A8895C"/>
        </w:rPr>
        <w:t>5.2 Réactivité Mobile (Responsive)</w:t>
      </w:r>
    </w:p>
    <w:p>
      <w:pPr>
        <w:spacing w:after="160"/>
      </w:pPr>
      <w:r>
        <w:rPr>
          <w:rFonts w:ascii="Calibri" w:hAnsi="Calibri"/>
          <w:b w:val="0"/>
          <w:i w:val="0"/>
          <w:color w:val="1A1714"/>
          <w:sz w:val="21"/>
        </w:rPr>
        <w:t>Le CSS utilise des clamp() et des media queries pour l’adaptation mobile. L’architecture est mobile-first sur les composants clés (hero, catalogue). Points positifs : le burger menu est bien implémenté (animation X, overlay plein écran), le mobile-swipe-hint pour le catalogue est une bonne affordance, et les tailles de clic du burger respectent les 44×44px minimum (min-width/min-height: 44px).</w:t>
      </w:r>
    </w:p>
    <w:p>
      <w:pPr>
        <w:spacing w:after="40"/>
      </w:pPr>
      <w:r>
        <w:rPr>
          <w:rFonts w:ascii="Calibri" w:hAnsi="Calibri"/>
          <w:b/>
          <w:color w:val="C0392B"/>
          <w:sz w:val="20"/>
        </w:rPr>
        <w:t xml:space="preserve">[CRITIQUE] </w:t>
      </w:r>
      <w:r>
        <w:rPr>
          <w:rFonts w:ascii="Calibri" w:hAnsi="Calibri"/>
          <w:b/>
          <w:sz w:val="21"/>
        </w:rPr>
        <w:t>La grille catalogue n’est pas un carrousel natif sur mobile</w:t>
      </w:r>
    </w:p>
    <w:p>
      <w:pPr>
        <w:spacing w:after="200"/>
        <w:ind w:left="432"/>
      </w:pPr>
      <w:r>
        <w:rPr>
          <w:rFonts w:ascii="Calibri" w:hAnsi="Calibri"/>
          <w:color w:val="6B6560"/>
          <w:sz w:val="20"/>
        </w:rPr>
        <w:t>Le shop-grid utilise une grille CSS, pas un vrai carrousel avec snap points. Le hint « Glisser pour explorer » suggère un swipe, mais le comportement réel est un scroll libre sans snap. Implémenter scroll-snap-type: x mandatory avec scroll-snap-align: center sur chaque .shop-card pour mobile.</w:t>
      </w:r>
    </w:p>
    <w:p>
      <w:pPr>
        <w:spacing w:after="40"/>
      </w:pPr>
      <w:r>
        <w:rPr>
          <w:rFonts w:ascii="Calibri" w:hAnsi="Calibri"/>
          <w:b/>
          <w:color w:val="E67E22"/>
          <w:sz w:val="20"/>
        </w:rPr>
        <w:t xml:space="preserve">[HAUTE] </w:t>
      </w:r>
      <w:r>
        <w:rPr>
          <w:rFonts w:ascii="Calibri" w:hAnsi="Calibri"/>
          <w:b/>
          <w:sz w:val="21"/>
        </w:rPr>
        <w:t>Chatbot chevauche les CTA sur mobile</w:t>
      </w:r>
    </w:p>
    <w:p>
      <w:pPr>
        <w:spacing w:after="200"/>
        <w:ind w:left="432"/>
      </w:pPr>
      <w:r>
        <w:rPr>
          <w:rFonts w:ascii="Calibri" w:hAnsi="Calibri"/>
          <w:color w:val="6B6560"/>
          <w:sz w:val="20"/>
        </w:rPr>
        <w:t>Le widget chat en position fixed bas-droite peut masquer le sticky CTA bar et le dernier CTA de la page. Z-index du chat (999) vs sticky bar (à vérifier). Solution : sur mobile, décaler le chat au-dessus de la sticky bar, ou le masquer quand la sticky bar est visible.</w:t>
      </w:r>
    </w:p>
    <w:p>
      <w:pPr>
        <w:pStyle w:val="Heading2"/>
      </w:pPr>
      <w:r>
        <w:rPr>
          <w:color w:val="A8895C"/>
        </w:rPr>
        <w:t>5.3 Accessibilité (a11y)</w:t>
      </w:r>
    </w:p>
    <w:p>
      <w:pPr>
        <w:spacing w:after="120"/>
      </w:pPr>
      <w:r>
        <w:rPr>
          <w:rFonts w:ascii="Calibri" w:hAnsi="Calibri"/>
          <w:b w:val="0"/>
          <w:i w:val="0"/>
          <w:color w:val="1A1714"/>
          <w:sz w:val="21"/>
        </w:rPr>
        <w:t>Points positifs : skip-to-content link, aria-label sur les boutons, aria-expanded sur le burger, noscript fallback pour les animations GSAP, alt text sur les images produit.</w:t>
      </w:r>
    </w:p>
    <w:p>
      <w:pPr>
        <w:spacing w:after="160"/>
      </w:pPr>
      <w:r>
        <w:rPr>
          <w:rFonts w:ascii="Calibri" w:hAnsi="Calibri"/>
          <w:b w:val="0"/>
          <w:i w:val="0"/>
          <w:color w:val="1A1714"/>
          <w:sz w:val="21"/>
        </w:rPr>
        <w:t>Points négatifs : les eyebrows en gold sur cream échouent au contraste WCAG AA (déjà mentionné), le texte des btn-primary en 0.72rem est trop petit, les FAQ accordions n’utilisent pas aria-controls pour lier question et réponse, et la modale produit manque de focus-trap (l’utilisateur clavier peut tabber en dehors).</w:t>
      </w:r>
    </w:p>
    <w:p>
      <w:pPr>
        <w:pStyle w:val="Heading2"/>
      </w:pPr>
      <w:r>
        <w:rPr>
          <w:color w:val="A8895C"/>
        </w:rPr>
        <w:t>5.4 SEO Technique</w:t>
      </w:r>
    </w:p>
    <w:p>
      <w:pPr>
        <w:spacing w:after="240"/>
      </w:pPr>
      <w:r>
        <w:rPr>
          <w:rFonts w:ascii="Calibri" w:hAnsi="Calibri"/>
          <w:b w:val="0"/>
          <w:i w:val="0"/>
          <w:color w:val="1A1714"/>
          <w:sz w:val="21"/>
        </w:rPr>
        <w:t>Bonne base : structured data LocalBusiness + Product (sur les pages produit), canonical URLs, sitemap.xml, robots.txt, meta OG completes. Manques : pas de hreflang (si l’internationalisation est prévue), og:image commenté sur les pages produit (ligne 19 de produit-fraise.html), pas de schema FAQ sur la homepage malgré 9 questions structurées, et la page case-studies.html n’est pas linkée dans la navigation principale.</w:t>
      </w:r>
    </w:p>
    <w:p>
      <w:r>
        <w:br w:type="page"/>
      </w:r>
    </w:p>
    <w:p>
      <w:pPr>
        <w:pStyle w:val="Heading1"/>
      </w:pPr>
      <w:r>
        <w:rPr>
          <w:color w:val="A8895C"/>
        </w:rPr>
        <w:t>6. Quick Wins &amp; Roadmap Stratégique</w:t>
      </w:r>
    </w:p>
    <w:p>
      <w:pPr>
        <w:pStyle w:val="Heading2"/>
      </w:pPr>
      <w:r>
        <w:rPr>
          <w:color w:val="A8895C"/>
        </w:rPr>
        <w:t>6.1 — 5 Quick Wins à fort impact (implémentables en 48h)</w:t>
      </w:r>
    </w:p>
    <w:p>
      <w:pPr>
        <w:spacing w:after="40"/>
      </w:pPr>
      <w:r>
        <w:rPr>
          <w:rFonts w:ascii="Calibri" w:hAnsi="Calibri"/>
          <w:b/>
          <w:color w:val="C0392B"/>
          <w:sz w:val="20"/>
        </w:rPr>
        <w:t xml:space="preserve">[CRITIQUE] </w:t>
      </w:r>
      <w:r>
        <w:rPr>
          <w:rFonts w:ascii="Calibri" w:hAnsi="Calibri"/>
          <w:b/>
          <w:sz w:val="21"/>
        </w:rPr>
        <w:t>QW1 — Réduire les espaces inter-sections de 40%</w:t>
      </w:r>
    </w:p>
    <w:p>
      <w:pPr>
        <w:spacing w:after="200"/>
        <w:ind w:left="432"/>
      </w:pPr>
      <w:r>
        <w:rPr>
          <w:rFonts w:ascii="Calibri" w:hAnsi="Calibri"/>
          <w:color w:val="6B6560"/>
          <w:sz w:val="20"/>
        </w:rPr>
        <w:t>Modifier les paddings dans styles.css et homepage.css. Impact immédiat : meilleure rétention au scroll, réduction du bounce rate estimée à -15%. Effort : 1h de CSS.</w:t>
      </w:r>
    </w:p>
    <w:p>
      <w:pPr>
        <w:spacing w:after="40"/>
      </w:pPr>
      <w:r>
        <w:rPr>
          <w:rFonts w:ascii="Calibri" w:hAnsi="Calibri"/>
          <w:b/>
          <w:color w:val="E67E22"/>
          <w:sz w:val="20"/>
        </w:rPr>
        <w:t xml:space="preserve">[HAUTE] </w:t>
      </w:r>
      <w:r>
        <w:rPr>
          <w:rFonts w:ascii="Calibri" w:hAnsi="Calibri"/>
          <w:b/>
          <w:sz w:val="21"/>
        </w:rPr>
        <w:t>QW2 — Décommenter l’og:image des pages produit</w:t>
      </w:r>
    </w:p>
    <w:p>
      <w:pPr>
        <w:spacing w:after="200"/>
        <w:ind w:left="432"/>
      </w:pPr>
      <w:r>
        <w:rPr>
          <w:rFonts w:ascii="Calibri" w:hAnsi="Calibri"/>
          <w:color w:val="6B6560"/>
          <w:sz w:val="20"/>
        </w:rPr>
        <w:t>Ligne 19 de chaque produit-*.html : &lt;!-- &lt;meta property="og:image"... /&gt; --&gt; est commenté. Décommenter pour que les partages sociaux affichent la bonne image. Effort : 15 minutes.</w:t>
      </w:r>
    </w:p>
    <w:p>
      <w:pPr>
        <w:spacing w:after="40"/>
      </w:pPr>
      <w:r>
        <w:rPr>
          <w:rFonts w:ascii="Calibri" w:hAnsi="Calibri"/>
          <w:b/>
          <w:color w:val="E67E22"/>
          <w:sz w:val="20"/>
        </w:rPr>
        <w:t xml:space="preserve">[HAUTE] </w:t>
      </w:r>
      <w:r>
        <w:rPr>
          <w:rFonts w:ascii="Calibri" w:hAnsi="Calibri"/>
          <w:b/>
          <w:sz w:val="21"/>
        </w:rPr>
        <w:t>QW3 — Ajouter le schema FAQ en JSON-LD</w:t>
      </w:r>
    </w:p>
    <w:p>
      <w:pPr>
        <w:spacing w:after="200"/>
        <w:ind w:left="432"/>
      </w:pPr>
      <w:r>
        <w:rPr>
          <w:rFonts w:ascii="Calibri" w:hAnsi="Calibri"/>
          <w:color w:val="6B6560"/>
          <w:sz w:val="20"/>
        </w:rPr>
        <w:t>Les 9 questions de la FAQ homepage sont déjà structurées. Ajouter un script type="application/ld+json" FAQPage. Impact : rich snippets Google, gain de visibilité organique. Effort : 30 minutes.</w:t>
      </w:r>
    </w:p>
    <w:p>
      <w:pPr>
        <w:spacing w:after="40"/>
      </w:pPr>
      <w:r>
        <w:rPr>
          <w:rFonts w:ascii="Calibri" w:hAnsi="Calibri"/>
          <w:b/>
          <w:color w:val="E67E22"/>
          <w:sz w:val="20"/>
        </w:rPr>
        <w:t xml:space="preserve">[HAUTE] </w:t>
      </w:r>
      <w:r>
        <w:rPr>
          <w:rFonts w:ascii="Calibri" w:hAnsi="Calibri"/>
          <w:b/>
          <w:sz w:val="21"/>
        </w:rPr>
        <w:t>QW4 — Supprimer le doublon script email-decode</w:t>
      </w:r>
    </w:p>
    <w:p>
      <w:pPr>
        <w:spacing w:after="200"/>
        <w:ind w:left="432"/>
      </w:pPr>
      <w:r>
        <w:rPr>
          <w:rFonts w:ascii="Calibri" w:hAnsi="Calibri"/>
          <w:color w:val="6B6560"/>
          <w:sz w:val="20"/>
        </w:rPr>
        <w:t>Deux balises &lt;script&gt; identiques pour cloudflare email-decode. Supprimer la deuxième. Effort : 2 minutes. Impact : performance et propreté du code.</w:t>
      </w:r>
    </w:p>
    <w:p>
      <w:pPr>
        <w:spacing w:after="40"/>
      </w:pPr>
      <w:r>
        <w:rPr>
          <w:rFonts w:ascii="Calibri" w:hAnsi="Calibri"/>
          <w:b/>
          <w:color w:val="E67E22"/>
          <w:sz w:val="20"/>
        </w:rPr>
        <w:t xml:space="preserve">[HAUTE] </w:t>
      </w:r>
      <w:r>
        <w:rPr>
          <w:rFonts w:ascii="Calibri" w:hAnsi="Calibri"/>
          <w:b/>
          <w:sz w:val="21"/>
        </w:rPr>
        <w:t>QW5 — Ajouter case-studies.html à la navigation</w:t>
      </w:r>
    </w:p>
    <w:p>
      <w:pPr>
        <w:spacing w:after="200"/>
        <w:ind w:left="432"/>
      </w:pPr>
      <w:r>
        <w:rPr>
          <w:rFonts w:ascii="Calibri" w:hAnsi="Calibri"/>
          <w:color w:val="6B6560"/>
          <w:sz w:val="20"/>
        </w:rPr>
        <w:t>La page existe mais n’est accessible depuis aucun lien du site. L’ajouter dans le footer et la navbar desktop sous « Résultats » ou « Nos Partenaires ». Effort : 10 minutes. Impact : crédibilité B2B massive.</w:t>
      </w:r>
    </w:p>
    <w:p>
      <w:pPr>
        <w:pStyle w:val="Heading2"/>
      </w:pPr>
      <w:r>
        <w:rPr>
          <w:color w:val="A8895C"/>
        </w:rPr>
        <w:t>6.2 — 3 Recommandations stratégiques (horizon 3-6 mois)</w:t>
      </w:r>
    </w:p>
    <w:p>
      <w:pPr>
        <w:spacing w:after="80"/>
      </w:pPr>
      <w:r>
        <w:rPr>
          <w:b/>
          <w:color w:val="A8895C"/>
          <w:sz w:val="24"/>
        </w:rPr>
        <w:t>S1 — Stratégie de contenu vidéo « Révélation »</w:t>
      </w:r>
    </w:p>
    <w:p>
      <w:pPr>
        <w:spacing w:after="240"/>
      </w:pPr>
      <w:r>
        <w:rPr>
          <w:rFonts w:ascii="Calibri" w:hAnsi="Calibri"/>
          <w:b w:val="0"/>
          <w:i w:val="0"/>
          <w:color w:val="1A1714"/>
          <w:sz w:val="21"/>
        </w:rPr>
        <w:t>Le produit Maison Mirage est intrinsèquement viral. La découpe d’un fruit trompe-l’œil est le format parfait pour TikTok, Reels et Shorts. Stratégie recommandée : produire une vidéo de découpe par produit, une vidéo « behind the scenes » de l’atelier par mois, et un programme d’ambassadeurs restaurateurs qui filment les réactions clients. Objectif : 1M de vues mensuelles en 6 mois (actuellement 500K cumulées). Intégrer un feed social dynamique sur la homepage pour prouver la traction.</w:t>
      </w:r>
    </w:p>
    <w:p>
      <w:pPr>
        <w:spacing w:after="80"/>
      </w:pPr>
      <w:r>
        <w:rPr>
          <w:b/>
          <w:color w:val="A8895C"/>
          <w:sz w:val="24"/>
        </w:rPr>
        <w:t>S2 — Plateforme de commande B2B self-service</w:t>
      </w:r>
    </w:p>
    <w:p>
      <w:pPr>
        <w:spacing w:after="240"/>
      </w:pPr>
      <w:r>
        <w:rPr>
          <w:rFonts w:ascii="Calibri" w:hAnsi="Calibri"/>
          <w:b w:val="0"/>
          <w:i w:val="0"/>
          <w:color w:val="1A1714"/>
          <w:sz w:val="21"/>
        </w:rPr>
        <w:t>Le formulaire de contact est un frein pour les partenaires existants qui veulent récommander. Phase 1 : configurateur de coffret (choix des pièces + quantité = devis instantané). Phase 2 : espace client avec historique de commandes, factures et réapprovisionnement en 1 clic. Phase 3 : commande récurrente automatisée (abonnement B2B). Cela réduit la charge du pôle commercial et accélère le cycle de réachat.</w:t>
      </w:r>
    </w:p>
    <w:p>
      <w:pPr>
        <w:spacing w:after="80"/>
      </w:pPr>
      <w:r>
        <w:rPr>
          <w:b/>
          <w:color w:val="A8895C"/>
          <w:sz w:val="24"/>
        </w:rPr>
        <w:t>S3 — Expansion multi-canal &amp; retail</w:t>
      </w:r>
    </w:p>
    <w:p>
      <w:pPr>
        <w:spacing w:after="240"/>
      </w:pPr>
      <w:r>
        <w:rPr>
          <w:rFonts w:ascii="Calibri" w:hAnsi="Calibri"/>
          <w:b w:val="0"/>
          <w:i w:val="0"/>
          <w:color w:val="1A1714"/>
          <w:sz w:val="21"/>
        </w:rPr>
        <w:t>Le PDF Klépierre montre l’ambition retail (kiosque en centre commercial). Le site doit préparer cette transition en ajoutant une section B2C avec e-commerce (coffrets cadeaux, commandes individuelles pour événements). Une page dédiée « Offrir Maison Mirage » avec configurateur de coffret cadeau serait le pont idéal entre B2B et B2C. Le design du kiosque (« galerie d’art gourmande, vitrines type joaillerie ») doit se refléter sur le site pour créer une cohérence expérientielle omnicanale.</w:t>
      </w:r>
    </w:p>
    <w:p>
      <w:r>
        <w:br w:type="page"/>
      </w:r>
    </w:p>
    <w:p>
      <w:pPr>
        <w:pStyle w:val="Heading1"/>
      </w:pPr>
      <w:r>
        <w:rPr>
          <w:color w:val="A8895C"/>
        </w:rPr>
        <w:t>Conclusion</w:t>
      </w:r>
    </w:p>
    <w:p>
      <w:pPr>
        <w:spacing w:after="200"/>
      </w:pPr>
      <w:r>
        <w:rPr>
          <w:rFonts w:ascii="Calibri" w:hAnsi="Calibri"/>
          <w:b w:val="0"/>
          <w:i w:val="0"/>
          <w:color w:val="1A1714"/>
          <w:sz w:val="22"/>
        </w:rPr>
        <w:t>Maison Mirage dispose de trois atouts rares : un produit intrinsèquement viral, une direction artistique qui joue dans la cour des grandes maisons, et un positionnement B2B clé-en-main qui élimine les objections classiques (zéro chef, livraison incluse, dégustation gratuite).</w:t>
      </w:r>
    </w:p>
    <w:p>
      <w:pPr>
        <w:spacing w:after="200"/>
      </w:pPr>
      <w:r>
        <w:rPr>
          <w:rFonts w:ascii="Calibri" w:hAnsi="Calibri"/>
          <w:b w:val="0"/>
          <w:i w:val="0"/>
          <w:color w:val="1A1714"/>
          <w:sz w:val="22"/>
        </w:rPr>
        <w:t>Le site a considérablement progressé depuis la V1 : passage au multi-pages, intégration du storytelling fondateur, ajout de preuves sociales chiffrées, prix affichés, CTA contextualisés, sticky bar. Ce sont des avancées significatives.</w:t>
      </w:r>
    </w:p>
    <w:p>
      <w:pPr>
        <w:spacing w:after="320"/>
      </w:pPr>
      <w:r>
        <w:rPr>
          <w:rFonts w:ascii="Calibri" w:hAnsi="Calibri"/>
          <w:b w:val="0"/>
          <w:i w:val="0"/>
          <w:color w:val="1A1714"/>
          <w:sz w:val="22"/>
        </w:rPr>
        <w:t>Les axes prioritaires pour passer de « très bon » à « référence mondiale » :</w:t>
        <w:br/>
        <w:t>— Réduire les espaces morts et optimiser le rythme de scroll</w:t>
        <w:br/>
        <w:t>— Multiplier le contenu vidéo de découpe (1 par produit)</w:t>
        <w:br/>
        <w:t>— Introduire la rareté (collections saisonnières, séries limitées)</w:t>
        <w:br/>
        <w:t>— Améliorer l’accessibilité (contrastes, focus-trap, srcset)</w:t>
        <w:br/>
        <w:t>— Préparer le pivot B2C avec la stratégie retail Klépierre</w:t>
      </w:r>
    </w:p>
    <w:p>
      <w:pPr>
        <w:spacing w:after="400"/>
        <w:jc w:val="center"/>
      </w:pPr>
      <w:r>
        <w:rPr>
          <w:rFonts w:ascii="Calibri" w:hAnsi="Calibri"/>
          <w:b/>
          <w:i/>
          <w:color w:val="A8895C"/>
          <w:sz w:val="26"/>
        </w:rPr>
        <w:t>Le produit est prêt pour le monde. Le site doit l’être aussi.</w:t>
      </w:r>
    </w:p>
    <w:p>
      <w:pPr>
        <w:spacing w:after="120"/>
        <w:jc w:val="center"/>
      </w:pPr>
      <w:r>
        <w:rPr>
          <w:rFonts w:ascii="Calibri" w:hAnsi="Calibri"/>
          <w:b w:val="0"/>
          <w:i w:val="0"/>
          <w:color w:val="6B6560"/>
          <w:sz w:val="12"/>
        </w:rPr>
        <w:t>──────────────────────────────────────────────────</w:t>
      </w:r>
    </w:p>
    <w:p>
      <w:pPr>
        <w:spacing w:after="120"/>
        <w:jc w:val="center"/>
      </w:pPr>
      <w:r>
        <w:rPr>
          <w:rFonts w:ascii="Calibri" w:hAnsi="Calibri"/>
          <w:b w:val="0"/>
          <w:i w:val="0"/>
          <w:color w:val="6B6560"/>
          <w:sz w:val="16"/>
        </w:rPr>
        <w:t>Audit réalisé le 11 mars 2026 — Version 3.0</w:t>
        <w:br/>
        <w:t>Méthodologie : analyse du code source (HTML/CSS/JS), documentation interne (PDF Klépierre), audit UX heuristique, analyse WCAG, revue CRO.</w:t>
      </w:r>
    </w:p>
    <w:sectPr w:rsidR="00FC693F" w:rsidRPr="0006063C" w:rsidSect="00034616">
      <w:pgSz w:w="11909" w:h="16834"/>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7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