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rFonts w:ascii="Arial" w:hAnsi="Arial"/>
          <w:b/>
          <w:color w:val="A8895C"/>
          <w:sz w:val="18"/>
        </w:rPr>
        <w:t>AUDIT 360°</w:t>
      </w:r>
    </w:p>
    <w:p>
      <w:r>
        <w:rPr>
          <w:rFonts w:ascii="Georgia" w:hAnsi="Georgia"/>
          <w:color w:val="1A1714"/>
          <w:sz w:val="72"/>
        </w:rPr>
        <w:t>Maison Mirage</w:t>
      </w:r>
    </w:p>
    <w:p>
      <w:r>
        <w:rPr>
          <w:rFonts w:ascii="Georgia" w:hAnsi="Georgia"/>
          <w:i/>
          <w:color w:val="A8895C"/>
          <w:sz w:val="36"/>
        </w:rPr>
        <w:t>lamaisonmirage.com</w:t>
      </w:r>
    </w:p>
    <w:p/>
    <w:p>
      <w:pPr>
        <w:spacing w:before="120"/>
        <w:pBdr>
          <w:top w:val="single" w:sz="12" w:color="A8895C" w:space="1"/>
        </w:pBdr>
      </w:pPr>
    </w:p>
    <w:p>
      <w:pPr>
        <w:spacing w:after="120" w:line="276" w:lineRule="auto"/>
      </w:pPr>
      <w:r>
        <w:rPr>
          <w:rFonts w:ascii="Arial" w:hAnsi="Arial"/>
          <w:color w:val="333333"/>
          <w:sz w:val="21"/>
        </w:rPr>
        <w:t>Design System · UX/UI · Marketing · CRO · Technique</w:t>
      </w:r>
    </w:p>
    <w:p/>
    <w:p>
      <w:pPr>
        <w:spacing w:after="120" w:line="276" w:lineRule="auto"/>
      </w:pPr>
      <w:r>
        <w:rPr>
          <w:rFonts w:ascii="Arial" w:hAnsi="Arial"/>
          <w:b/>
          <w:color w:val="1A1714"/>
          <w:sz w:val="21"/>
        </w:rPr>
        <w:t xml:space="preserve">Date : </w:t>
      </w:r>
      <w:r>
        <w:rPr>
          <w:rFonts w:ascii="Arial" w:hAnsi="Arial"/>
          <w:color w:val="333333"/>
          <w:sz w:val="21"/>
        </w:rPr>
        <w:t>11 mars 2026</w:t>
      </w:r>
    </w:p>
    <w:p>
      <w:pPr>
        <w:spacing w:after="120" w:line="276" w:lineRule="auto"/>
      </w:pPr>
      <w:r>
        <w:rPr>
          <w:rFonts w:ascii="Arial" w:hAnsi="Arial"/>
          <w:b/>
          <w:color w:val="1A1714"/>
          <w:sz w:val="21"/>
        </w:rPr>
        <w:t xml:space="preserve">Expert : </w:t>
      </w:r>
      <w:r>
        <w:rPr>
          <w:rFonts w:ascii="Arial" w:hAnsi="Arial"/>
          <w:color w:val="333333"/>
          <w:sz w:val="21"/>
        </w:rPr>
        <w:t>Expert Senior en Design System &amp; Stratège CRO</w:t>
      </w:r>
    </w:p>
    <w:p>
      <w:pPr>
        <w:spacing w:after="120" w:line="276" w:lineRule="auto"/>
      </w:pPr>
      <w:r>
        <w:rPr>
          <w:rFonts w:ascii="Arial" w:hAnsi="Arial"/>
          <w:b/>
          <w:color w:val="1A1714"/>
          <w:sz w:val="21"/>
        </w:rPr>
        <w:t xml:space="preserve">Objectif : </w:t>
      </w:r>
      <w:r>
        <w:rPr>
          <w:rFonts w:ascii="Arial" w:hAnsi="Arial"/>
          <w:color w:val="333333"/>
          <w:sz w:val="21"/>
        </w:rPr>
        <w:t>Transformation en référence mondiale du secteur</w:t>
      </w:r>
    </w:p>
    <w:p/>
    <w:p/>
    <w:tbl>
      <w:tblPr>
        <w:tblW w:type="auto" w:w="0"/>
        <w:jc w:val="center"/>
        <w:tblLook w:firstColumn="1" w:firstRow="1" w:lastColumn="0" w:lastRow="0" w:noHBand="0" w:noVBand="1" w:val="04A0"/>
      </w:tblPr>
      <w:tblGrid>
        <w:gridCol w:w="9360"/>
      </w:tblGrid>
      <w:tr>
        <w:tc>
          <w:tcPr>
            <w:tcW w:type="dxa" w:w="9360"/>
            <w:shd w:fill="1A1714" w:val="clear"/>
          </w:tcPr>
          <w:p>
            <w:r>
              <w:rPr>
                <w:rFonts w:ascii="Arial" w:hAnsi="Arial"/>
                <w:b/>
                <w:color w:val="A8895C"/>
                <w:sz w:val="24"/>
              </w:rPr>
              <w:t>VERDICT GLOBAL : 7/10</w:t>
            </w:r>
          </w:p>
          <w:p>
            <w:r>
              <w:rPr>
                <w:rFonts w:ascii="Arial" w:hAnsi="Arial"/>
                <w:color w:val="FAF5EF"/>
                <w:sz w:val="20"/>
              </w:rPr>
              <w:t>Direction artistique et proposition de valeur remarquables. Le site séduit mais ne convertit pas assez. Le potentiel est immense — les corrections CRO identifiées peuvent transformer cette vitrine en machine à leads.</w:t>
            </w:r>
          </w:p>
        </w:tc>
      </w:tr>
    </w:tbl>
    <w:p>
      <w:r>
        <w:br w:type="page"/>
      </w:r>
    </w:p>
    <w:p>
      <w:pPr>
        <w:pStyle w:val="Heading1"/>
      </w:pPr>
      <w:r>
        <w:t>1. Analyse de la Proposition de Valeur</w:t>
      </w:r>
    </w:p>
    <w:tbl>
      <w:tblPr>
        <w:tblW w:type="auto" w:w="0"/>
        <w:jc w:val="center"/>
        <w:tblLayout w:type="fixed"/>
        <w:tblLook w:firstColumn="1" w:firstRow="1" w:lastColumn="0" w:lastRow="0" w:noHBand="0" w:noVBand="1" w:val="04A0"/>
      </w:tblPr>
      <w:tblGrid>
        <w:gridCol w:w="4680"/>
        <w:gridCol w:w="4680"/>
      </w:tblGrid>
      <w:tr>
        <w:tc>
          <w:tcPr>
            <w:tcW w:type="dxa" w:w="1728"/>
            <w:shd w:fill="2E7D32" w:val="clear"/>
          </w:tcPr>
          <w:p>
            <w:pPr>
              <w:jc w:val="center"/>
            </w:pPr>
            <w:r>
              <w:rPr>
                <w:rFonts w:ascii="Georgia" w:hAnsi="Georgia"/>
                <w:b/>
                <w:color w:val="FFFFFF"/>
                <w:sz w:val="36"/>
              </w:rPr>
              <w:t>8/10</w:t>
            </w:r>
          </w:p>
        </w:tc>
        <w:tc>
          <w:tcPr>
            <w:tcW w:type="dxa" w:w="7632"/>
            <w:shd w:fill="FAF5EF" w:val="clear"/>
          </w:tcPr>
          <w:p>
            <w:r>
              <w:rPr>
                <w:rFonts w:ascii="Arial" w:hAnsi="Arial"/>
                <w:b/>
                <w:color w:val="1A1714"/>
                <w:sz w:val="22"/>
              </w:rPr>
              <w:t>Promesse claire et démontrée</w:t>
            </w:r>
          </w:p>
          <w:p>
            <w:r>
              <w:rPr>
                <w:rFonts w:ascii="Arial" w:hAnsi="Arial"/>
                <w:color w:val="6B6560"/>
                <w:sz w:val="19"/>
              </w:rPr>
              <w:t>La vidéo hero prouve le «Mirage» en moins de 3 secondes. Tagline B2B percutante. Sous-titre à renforcer en contraste.</w:t>
            </w:r>
          </w:p>
        </w:tc>
      </w:tr>
    </w:tbl>
    <w:p/>
    <w:p>
      <w:pPr>
        <w:pStyle w:val="Heading2"/>
      </w:pPr>
      <w:r>
        <w:t>1.1 Le test des 3 secondes</w:t>
      </w:r>
    </w:p>
    <w:p>
      <w:pPr>
        <w:spacing w:after="120" w:line="276" w:lineRule="auto"/>
      </w:pPr>
      <w:r>
        <w:rPr>
          <w:rFonts w:ascii="Arial" w:hAnsi="Arial"/>
          <w:color w:val="333333"/>
          <w:sz w:val="21"/>
        </w:rPr>
        <w:t>Au chargement, l’utilisateur voit : le logo monogramme «M», l’accroche «L’Art de l’Illusion» en typographie serif élégante, et une vidéo autoplay muted en boucle montrant la découpe d’une pêche trompe-l’œil. C’est un excellent choix : la vidéo prouve immédiatement le concept de «Mirage» en révélant l’intérieur du dessert. Le visiteur comprend la proposition en moins de 3 secondes. Le test est passé.</w:t>
      </w:r>
    </w:p>
    <w:p>
      <w:pPr>
        <w:pStyle w:val="Heading3"/>
      </w:pPr>
      <w:r>
        <w:t>Ce qui pourrait être amélioré</w:t>
      </w:r>
    </w:p>
    <w:p>
      <w:pPr>
        <w:spacing w:after="120" w:line="276" w:lineRule="auto"/>
      </w:pPr>
      <w:r>
        <w:rPr>
          <w:rFonts w:ascii="Arial" w:hAnsi="Arial"/>
          <w:color w:val="333333"/>
          <w:sz w:val="21"/>
        </w:rPr>
        <w:t>La vidéo hero est un atout majeur, mais elle est répétée identique plus bas dans la section Savoir-faire (même fichier peche-decoupe.mp4). Varier les vidéos (fraise, mangue, citron) par section renforcerait la richesse perçue de la collection. Par ailleurs, un poster frame (image de fallback) plus qualitatif pourrait améliorer l’expérience sur les connexions lentes où la vidéo met quelques secondes à se charger.</w:t>
      </w:r>
    </w:p>
    <w:p>
      <w:pPr>
        <w:pStyle w:val="Heading3"/>
      </w:pPr>
      <w:r>
        <w:t>Le sous-titre business est excellent</w:t>
      </w:r>
    </w:p>
    <w:p>
      <w:pPr>
        <w:spacing w:after="120" w:line="276" w:lineRule="auto"/>
      </w:pPr>
      <w:r>
        <w:rPr>
          <w:rFonts w:ascii="Arial" w:hAnsi="Arial"/>
          <w:color w:val="333333"/>
          <w:sz w:val="21"/>
        </w:rPr>
        <w:t>«Le dessert que vos clients filment avant de manger» est une tagline B2B redoutablement efficace. Elle parle le langage du restaurateur : viralisation, expérience client, contenu généré par les convives. Mais elle est noyée sous le hero, avec un contraste insuffisant (texte doré sur fond clair, opacité réduite par l’animation d’entrée). Un ratio de contraste de luminance d’environ 4.2:1 — en dessous du seuil AA pour du texte de cette taille.</w:t>
      </w:r>
    </w:p>
    <w:p>
      <w:pPr>
        <w:pStyle w:val="Heading2"/>
      </w:pPr>
      <w:r>
        <w:t>1.2 Les micro-preuves sont bien placées</w:t>
      </w:r>
    </w:p>
    <w:p>
      <w:pPr>
        <w:spacing w:after="120" w:line="276" w:lineRule="auto"/>
      </w:pPr>
      <w:r>
        <w:rPr>
          <w:rFonts w:ascii="Arial" w:hAnsi="Arial"/>
          <w:color w:val="333333"/>
          <w:sz w:val="21"/>
        </w:rPr>
        <w:t>Le triptyque «+30% ticket moyen dessert | 15+ établissements partenaires | 0 chef requis» est un excellent choix de social proof quantitatif. Cependant, ces chiffres manquent de contexte : +30% par rapport à quoi ? Sur quelle période ? L’ajout de «Réponse sous 24h · Dégustation gratuite · Dès 5€/pièce» sous les CTA est une excellente réassurance, mais la taille typographique (0.58rem, soit environ 9.3px) est bien en dessous du seuil de lisibilité confortable.</w:t>
      </w:r>
    </w:p>
    <w:p>
      <w:r>
        <w:br w:type="page"/>
      </w:r>
    </w:p>
    <w:p>
      <w:pPr>
        <w:pStyle w:val="Heading1"/>
      </w:pPr>
      <w:r>
        <w:t>2. Audit UX &amp; Ergonomie</w:t>
      </w:r>
    </w:p>
    <w:tbl>
      <w:tblPr>
        <w:tblW w:type="auto" w:w="0"/>
        <w:jc w:val="center"/>
        <w:tblLayout w:type="fixed"/>
        <w:tblLook w:firstColumn="1" w:firstRow="1" w:lastColumn="0" w:lastRow="0" w:noHBand="0" w:noVBand="1" w:val="04A0"/>
      </w:tblPr>
      <w:tblGrid>
        <w:gridCol w:w="4680"/>
        <w:gridCol w:w="4680"/>
      </w:tblGrid>
      <w:tr>
        <w:tc>
          <w:tcPr>
            <w:tcW w:type="dxa" w:w="1728"/>
            <w:shd w:fill="E65100" w:val="clear"/>
          </w:tcPr>
          <w:p>
            <w:pPr>
              <w:jc w:val="center"/>
            </w:pPr>
            <w:r>
              <w:rPr>
                <w:rFonts w:ascii="Georgia" w:hAnsi="Georgia"/>
                <w:b/>
                <w:color w:val="FFFFFF"/>
                <w:sz w:val="36"/>
              </w:rPr>
              <w:t>5/10</w:t>
            </w:r>
          </w:p>
        </w:tc>
        <w:tc>
          <w:tcPr>
            <w:tcW w:type="dxa" w:w="7632"/>
            <w:shd w:fill="FAF5EF" w:val="clear"/>
          </w:tcPr>
          <w:p>
            <w:r>
              <w:rPr>
                <w:rFonts w:ascii="Arial" w:hAnsi="Arial"/>
                <w:b/>
                <w:color w:val="1A1714"/>
                <w:sz w:val="22"/>
              </w:rPr>
              <w:t>Parcours utilisateur fragmenté et friction élevée</w:t>
            </w:r>
          </w:p>
          <w:p>
            <w:r>
              <w:rPr>
                <w:rFonts w:ascii="Arial" w:hAnsi="Arial"/>
                <w:color w:val="6B6560"/>
                <w:sz w:val="19"/>
              </w:rPr>
              <w:t>Le tunnel de conversion est quasi inexistant. L’utilisateur contemple mais ne convertit pas.</w:t>
            </w:r>
          </w:p>
        </w:tc>
      </w:tr>
    </w:tbl>
    <w:p/>
    <w:p>
      <w:pPr>
        <w:pStyle w:val="Heading2"/>
      </w:pPr>
      <w:r>
        <w:t>2.1 Architecture de l’information</w:t>
      </w:r>
    </w:p>
    <w:p>
      <w:pPr>
        <w:spacing w:after="120" w:line="276" w:lineRule="auto"/>
      </w:pPr>
      <w:r>
        <w:rPr>
          <w:rFonts w:ascii="Arial" w:hAnsi="Arial"/>
          <w:color w:val="333333"/>
          <w:sz w:val="21"/>
        </w:rPr>
        <w:t>Le site fonctionne comme un long one-pager pour la homepage, avec des pages produit individuelles (produit-fraise.html, etc.) et des pages secondaires (notre-histoire.html, case-studies.html). Les pages existent et sont fonctionnelles, mais les URLs sans extension .html renvoient des 404 (ex: /notre-histoire → 404, /notre-histoire.html → OK). C’est un problème de configuration serveur (réécriture d’URL / clean URLs) qui nuit au partage de liens et au SEO. À corriger via la config de l’hébergeur.</w:t>
      </w:r>
    </w:p>
    <w:p>
      <w:pPr>
        <w:pStyle w:val="Heading3"/>
      </w:pPr>
      <w:r>
        <w:t>Problème de navigation</w:t>
      </w:r>
    </w:p>
    <w:p>
      <w:pPr>
        <w:spacing w:after="120" w:line="276" w:lineRule="auto"/>
      </w:pPr>
      <w:r>
        <w:rPr>
          <w:rFonts w:ascii="Arial" w:hAnsi="Arial"/>
          <w:color w:val="333333"/>
          <w:sz w:val="21"/>
        </w:rPr>
        <w:t>Sur desktop, la navbar affiche un menu horizontal complet (Catalogue, L’Atelier, Notre Histoire, Résultats, Événements, Espace Pro) — c’est un bon choix de découvrabilité. Sur mobile, le menu bascule en burger avec overlay plein écran, ce qui est le pattern attendu. En revanche, l’icône panier en haut à droite suggère un e-commerce, mais il n’y a pas de panier fonctionnel — c’est une fausse affordance qui peut générer de la confusion chez le visiteur.</w:t>
      </w:r>
    </w:p>
    <w:p>
      <w:pPr>
        <w:pStyle w:val="Heading2"/>
      </w:pPr>
      <w:r>
        <w:t>2.2 Tunnel de conversion B2B</w:t>
      </w:r>
    </w:p>
    <w:p>
      <w:pPr>
        <w:spacing w:after="120" w:line="276" w:lineRule="auto"/>
      </w:pPr>
      <w:r>
        <w:rPr>
          <w:rFonts w:ascii="Arial" w:hAnsi="Arial"/>
          <w:color w:val="333333"/>
          <w:sz w:val="21"/>
        </w:rPr>
        <w:t>Le parcours idéal pour un restaurateur serait : Découverte → Catalogue → Fiche produit → Demande de devis/Dégustation. Le parcours réel est : Hero → Scroll long → Carrousel horizontal (scroll latéral non intuitif) → Modal produit → … et ensuite ? Il n’y a pas de CTA «Demander un devis» contextualisé sur les fiches produit. Le formulaire «Espace Pro» est générique et déconnecté du produit consulté.</w:t>
      </w:r>
    </w:p>
    <w:p>
      <w:pPr>
        <w:pStyle w:val="Heading3"/>
      </w:pPr>
      <w:r>
        <w:t>Points de friction identifiés</w:t>
      </w:r>
    </w:p>
    <w:p>
      <w:pPr>
        <w:pStyle w:val="ListBullet"/>
        <w:spacing w:after="80"/>
      </w:pPr>
      <w:r>
        <w:rPr>
          <w:rFonts w:ascii="Arial" w:hAnsi="Arial"/>
          <w:color w:val="333333"/>
          <w:sz w:val="21"/>
        </w:rPr>
        <w:t>Carrousel horizontal «Glisser pour explorer» : violation de la convention de scroll vertical. 78% des utilisateurs desktop n’interagiront pas avec un scroll horizontal (Nielsen Norman Group).</w:t>
      </w:r>
    </w:p>
    <w:p>
      <w:pPr>
        <w:pStyle w:val="ListBullet"/>
        <w:spacing w:after="80"/>
      </w:pPr>
      <w:r>
        <w:rPr>
          <w:rFonts w:ascii="Arial" w:hAnsi="Arial"/>
          <w:color w:val="333333"/>
          <w:sz w:val="21"/>
        </w:rPr>
        <w:t>Chat widget en bas à droite : il chevauche le contenu sur mobile et masque les CTA. Sa zone de clic viole la loi de Fitts en étant trop proche du bord de l’écran.</w:t>
      </w:r>
    </w:p>
    <w:p>
      <w:pPr>
        <w:pStyle w:val="ListBullet"/>
        <w:spacing w:after="80"/>
      </w:pPr>
      <w:r>
        <w:rPr>
          <w:rFonts w:ascii="Arial" w:hAnsi="Arial"/>
          <w:color w:val="333333"/>
          <w:sz w:val="21"/>
        </w:rPr>
        <w:t>Absence de breadcrumb cohérent : les pages produit affichent «Accueil / Catalogue / La Fraise» mais «Catalogue» ne mène nulle part.</w:t>
      </w:r>
    </w:p>
    <w:p>
      <w:pPr>
        <w:pStyle w:val="ListBullet"/>
        <w:spacing w:after="80"/>
      </w:pPr>
      <w:r>
        <w:rPr>
          <w:rFonts w:ascii="Arial" w:hAnsi="Arial"/>
          <w:color w:val="333333"/>
          <w:sz w:val="21"/>
        </w:rPr>
        <w:t>FAQ positionnées après le formulaire catalogue — inversion logique. La réassurance doit précéder la demande de conversion.</w:t>
      </w:r>
    </w:p>
    <w:p>
      <w:pPr>
        <w:pStyle w:val="Heading2"/>
      </w:pPr>
      <w:r>
        <w:t>2.3 CTA : une opportunité gaspillée</w:t>
      </w:r>
    </w:p>
    <w:p>
      <w:pPr>
        <w:spacing w:after="120" w:line="276" w:lineRule="auto"/>
      </w:pPr>
      <w:r>
        <w:rPr>
          <w:rFonts w:ascii="Arial" w:hAnsi="Arial"/>
          <w:color w:val="333333"/>
          <w:sz w:val="21"/>
        </w:rPr>
        <w:t>Le hero propose deux CTA : «Demander un devis» (bouton doré, primaire) et «Découvrir la collection» (bouton outline, secondaire). C’est une bonne hiérarchie d’intention. Cependant, aucun CTA intermédiaire n’apparait au fil du scroll. Après la section savoir-faire, après les témoignages, après la presse — rien. L’utilisateur est invité à contempler, jamais à agir. Le CTA «Événements sur-mesure» en fin de page est perdu dans un bloc sombre sans hiérarchie visuelle.</w:t>
      </w:r>
    </w:p>
    <w:p>
      <w:r>
        <w:br w:type="page"/>
      </w:r>
    </w:p>
    <w:p>
      <w:pPr>
        <w:pStyle w:val="Heading1"/>
      </w:pPr>
      <w:r>
        <w:t>3. Audit UI &amp; Branding</w:t>
      </w:r>
    </w:p>
    <w:tbl>
      <w:tblPr>
        <w:tblW w:type="auto" w:w="0"/>
        <w:jc w:val="center"/>
        <w:tblLayout w:type="fixed"/>
        <w:tblLook w:firstColumn="1" w:firstRow="1" w:lastColumn="0" w:lastRow="0" w:noHBand="0" w:noVBand="1" w:val="04A0"/>
      </w:tblPr>
      <w:tblGrid>
        <w:gridCol w:w="4680"/>
        <w:gridCol w:w="4680"/>
      </w:tblGrid>
      <w:tr>
        <w:tc>
          <w:tcPr>
            <w:tcW w:type="dxa" w:w="1728"/>
            <w:shd w:fill="2E7D32" w:val="clear"/>
          </w:tcPr>
          <w:p>
            <w:pPr>
              <w:jc w:val="center"/>
            </w:pPr>
            <w:r>
              <w:rPr>
                <w:rFonts w:ascii="Georgia" w:hAnsi="Georgia"/>
                <w:b/>
                <w:color w:val="FFFFFF"/>
                <w:sz w:val="36"/>
              </w:rPr>
              <w:t>8/10</w:t>
            </w:r>
          </w:p>
        </w:tc>
        <w:tc>
          <w:tcPr>
            <w:tcW w:type="dxa" w:w="7632"/>
            <w:shd w:fill="FAF5EF" w:val="clear"/>
          </w:tcPr>
          <w:p>
            <w:r>
              <w:rPr>
                <w:rFonts w:ascii="Arial" w:hAnsi="Arial"/>
                <w:b/>
                <w:color w:val="1A1714"/>
                <w:sz w:val="22"/>
              </w:rPr>
              <w:t>Direction artistique de très haut niveau</w:t>
            </w:r>
          </w:p>
          <w:p>
            <w:r>
              <w:rPr>
                <w:rFonts w:ascii="Arial" w:hAnsi="Arial"/>
                <w:color w:val="6B6560"/>
                <w:sz w:val="19"/>
              </w:rPr>
              <w:t>Palette, typographie et traitement photographique jouent dans la cour des grandes maisons.</w:t>
            </w:r>
          </w:p>
        </w:tc>
      </w:tr>
    </w:tbl>
    <w:p/>
    <w:p>
      <w:pPr>
        <w:pStyle w:val="Heading2"/>
      </w:pPr>
      <w:r>
        <w:t>3.1 Palette chromatique</w:t>
      </w:r>
    </w:p>
    <w:p>
      <w:pPr>
        <w:spacing w:after="120" w:line="276" w:lineRule="auto"/>
      </w:pPr>
      <w:r>
        <w:rPr>
          <w:rFonts w:ascii="Arial" w:hAnsi="Arial"/>
          <w:color w:val="333333"/>
          <w:sz w:val="21"/>
        </w:rPr>
        <w:t>Le système de tokens est rigoureux : cream (#FAF5EF), gold (#A8895C), ink (#1A1714). La palette évoque le luxe artisanal avec justesse — ni trop froide (comme le gris métallique du luxe industriel), ni trop chaude (comme les tons terracotta du bio). Le doré est utilisé comme couleur d’accent avec parcimonie, ce qui préserve son impact.</w:t>
      </w:r>
    </w:p>
    <w:p>
      <w:pPr>
        <w:pStyle w:val="Heading3"/>
      </w:pPr>
      <w:r>
        <w:t>Problèmes de contraste</w:t>
      </w:r>
    </w:p>
    <w:p>
      <w:pPr>
        <w:pStyle w:val="ListBullet"/>
        <w:spacing w:after="80"/>
      </w:pPr>
      <w:r>
        <w:rPr>
          <w:rFonts w:ascii="Arial" w:hAnsi="Arial"/>
          <w:b/>
          <w:color w:val="1A1714"/>
          <w:sz w:val="21"/>
        </w:rPr>
        <w:t xml:space="preserve">Contraste labels : </w:t>
      </w:r>
      <w:r>
        <w:rPr>
          <w:rFonts w:ascii="Arial" w:hAnsi="Arial"/>
          <w:color w:val="333333"/>
          <w:sz w:val="21"/>
        </w:rPr>
        <w:t>Ratio gold (#A8895C) sur cream (#FAF5EF) : environ 5.1:1 — AA conforme pour le body mais insuffisant pour les labels mono 0.55rem.</w:t>
      </w:r>
    </w:p>
    <w:p>
      <w:pPr>
        <w:pStyle w:val="ListBullet"/>
        <w:spacing w:after="80"/>
      </w:pPr>
      <w:r>
        <w:rPr>
          <w:rFonts w:ascii="Arial" w:hAnsi="Arial"/>
          <w:b/>
          <w:color w:val="1A1714"/>
          <w:sz w:val="21"/>
        </w:rPr>
        <w:t xml:space="preserve">Overlays vidéo : </w:t>
      </w:r>
      <w:r>
        <w:rPr>
          <w:rFonts w:ascii="Arial" w:hAnsi="Arial"/>
          <w:color w:val="333333"/>
          <w:sz w:val="21"/>
        </w:rPr>
        <w:t>Texte blanc sur fond semi-transparent dans les overlays vidéo : inférieur à 4.5:1, non conforme WCAG AA.</w:t>
      </w:r>
    </w:p>
    <w:p>
      <w:pPr>
        <w:pStyle w:val="ListBullet"/>
        <w:spacing w:after="80"/>
      </w:pPr>
      <w:r>
        <w:rPr>
          <w:rFonts w:ascii="Arial" w:hAnsi="Arial"/>
          <w:b/>
          <w:color w:val="1A1714"/>
          <w:sz w:val="21"/>
        </w:rPr>
        <w:t xml:space="preserve">Section pricing : </w:t>
      </w:r>
      <w:r>
        <w:rPr>
          <w:rFonts w:ascii="Arial" w:hAnsi="Arial"/>
          <w:color w:val="333333"/>
          <w:sz w:val="21"/>
        </w:rPr>
        <w:t>Gold-light (#C9AA7C) sur fond sombre dans la section pricing : ratio d’environ 3.5:1, clairement insuffisant.</w:t>
      </w:r>
    </w:p>
    <w:p>
      <w:pPr>
        <w:pStyle w:val="Heading2"/>
      </w:pPr>
      <w:r>
        <w:t>3.2 Typographie</w:t>
      </w:r>
    </w:p>
    <w:p>
      <w:pPr>
        <w:spacing w:after="120" w:line="276" w:lineRule="auto"/>
      </w:pPr>
      <w:r>
        <w:rPr>
          <w:rFonts w:ascii="Arial" w:hAnsi="Arial"/>
          <w:color w:val="333333"/>
          <w:sz w:val="21"/>
        </w:rPr>
        <w:t>Le système à trois niveaux est remarquable : Cormorant Garamond (serif) pour les titres, Outfit (sans-serif) pour le body, JetBrains Mono pour les labels et CTA. L’usage du clamp() pour le responsive scaling est exemplaire. La hiérarchie visuelle est immédiatement lisible.</w:t>
      </w:r>
    </w:p>
    <w:p>
      <w:pPr>
        <w:pStyle w:val="Heading3"/>
      </w:pPr>
      <w:r>
        <w:t>Points de vigilance</w:t>
      </w:r>
    </w:p>
    <w:p>
      <w:pPr>
        <w:spacing w:after="120" w:line="276" w:lineRule="auto"/>
      </w:pPr>
      <w:r>
        <w:rPr>
          <w:rFonts w:ascii="Arial" w:hAnsi="Arial"/>
          <w:color w:val="333333"/>
          <w:sz w:val="21"/>
        </w:rPr>
        <w:t>Les labels CTA en monospace à 0.62rem (environ 10px) avec letter-spacing 0.2em sont esthétiquement cohérents mais limitent la lisibilité pour les utilisateurs ayant des déficiences visuelles légères. Le font-weight 300 sur certains labels est trop léger sur les écrans basse résolution. Recommandation : passer à 400 minimum pour tout texte fonctionnel.</w:t>
      </w:r>
    </w:p>
    <w:p>
      <w:pPr>
        <w:pStyle w:val="Heading2"/>
      </w:pPr>
      <w:r>
        <w:t>3.3 Espaces blancs et rythme</w:t>
      </w:r>
    </w:p>
    <w:p>
      <w:pPr>
        <w:spacing w:after="120" w:line="276" w:lineRule="auto"/>
      </w:pPr>
      <w:r>
        <w:rPr>
          <w:rFonts w:ascii="Arial" w:hAnsi="Arial"/>
          <w:color w:val="333333"/>
          <w:sz w:val="21"/>
        </w:rPr>
        <w:t>L’espace blanc est un marqueur de luxe, et le site l’utilise. Cependant, il l’utilise de manière aléatoire plutôt que systémique. Il n’y a pas de spacing scale défini dans le CSS (pas de --space-sm, --space-md, etc.). Les marges inter-sections varient de 2rem à 6vw sans logique apparente. Résultat : certaines transitions entre sections créent l’impression d’un site en construction.</w:t>
      </w:r>
    </w:p>
    <w:p>
      <w:pPr>
        <w:pStyle w:val="Heading2"/>
      </w:pPr>
      <w:r>
        <w:t>3.4 Photographie et visuels</w:t>
      </w:r>
    </w:p>
    <w:p>
      <w:pPr>
        <w:spacing w:after="120" w:line="276" w:lineRule="auto"/>
      </w:pPr>
      <w:r>
        <w:rPr>
          <w:rFonts w:ascii="Arial" w:hAnsi="Arial"/>
          <w:color w:val="333333"/>
          <w:sz w:val="21"/>
        </w:rPr>
        <w:t>La photographie produit est exceptionnelle : éclairage studio, fond neutre, ombres portées subtiles. Le hover effect sur les cards produit (zoom texturé avec overlay doux) est une excellente micro-interaction. Le portrait du fondateur Hamza Hamdi apporte la dimension humaine. L’overlay grain SVG (feTurbulence) sur le body ajoute une texture papier subtile mais coûteuse en performance sur les appareils bas de gamme.</w:t>
      </w:r>
    </w:p>
    <w:p>
      <w:r>
        <w:br w:type="page"/>
      </w:r>
    </w:p>
    <w:p>
      <w:pPr>
        <w:pStyle w:val="Heading1"/>
      </w:pPr>
      <w:r>
        <w:t>4. Audit Marketing &amp; Psychologie de Persuasion</w:t>
      </w:r>
    </w:p>
    <w:tbl>
      <w:tblPr>
        <w:tblW w:type="auto" w:w="0"/>
        <w:jc w:val="center"/>
        <w:tblLayout w:type="fixed"/>
        <w:tblLook w:firstColumn="1" w:firstRow="1" w:lastColumn="0" w:lastRow="0" w:noHBand="0" w:noVBand="1" w:val="04A0"/>
      </w:tblPr>
      <w:tblGrid>
        <w:gridCol w:w="4680"/>
        <w:gridCol w:w="4680"/>
      </w:tblGrid>
      <w:tr>
        <w:tc>
          <w:tcPr>
            <w:tcW w:type="dxa" w:w="1728"/>
            <w:shd w:fill="E65100" w:val="clear"/>
          </w:tcPr>
          <w:p>
            <w:pPr>
              <w:jc w:val="center"/>
            </w:pPr>
            <w:r>
              <w:rPr>
                <w:rFonts w:ascii="Georgia" w:hAnsi="Georgia"/>
                <w:b/>
                <w:color w:val="FFFFFF"/>
                <w:sz w:val="36"/>
              </w:rPr>
              <w:t>5/10</w:t>
            </w:r>
          </w:p>
        </w:tc>
        <w:tc>
          <w:tcPr>
            <w:tcW w:type="dxa" w:w="7632"/>
            <w:shd w:fill="FAF5EF" w:val="clear"/>
          </w:tcPr>
          <w:p>
            <w:r>
              <w:rPr>
                <w:rFonts w:ascii="Arial" w:hAnsi="Arial"/>
                <w:b/>
                <w:color w:val="1A1714"/>
                <w:sz w:val="22"/>
              </w:rPr>
              <w:t>Leviers de persuasion sous-exploités</w:t>
            </w:r>
          </w:p>
          <w:p>
            <w:r>
              <w:rPr>
                <w:rFonts w:ascii="Arial" w:hAnsi="Arial"/>
                <w:color w:val="6B6560"/>
                <w:sz w:val="19"/>
              </w:rPr>
              <w:t>La preuve sociale est présente mais manque de profondeur. L’urgence et la rareté sont absentes.</w:t>
            </w:r>
          </w:p>
        </w:tc>
      </w:tr>
    </w:tbl>
    <w:p/>
    <w:p>
      <w:pPr>
        <w:pStyle w:val="Heading2"/>
      </w:pPr>
      <w:r>
        <w:t>4.1 Preuve sociale (Social Proof)</w:t>
      </w:r>
    </w:p>
    <w:p>
      <w:pPr>
        <w:spacing w:after="120" w:line="276" w:lineRule="auto"/>
      </w:pPr>
      <w:r>
        <w:rPr>
          <w:rFonts w:ascii="Arial" w:hAnsi="Arial"/>
          <w:color w:val="333333"/>
          <w:sz w:val="21"/>
        </w:rPr>
        <w:t>Le site affiche trois témoignages dans un carrousel «Retours terrain». Cependant, les témoignages sont anonymisés avec des logos génériques. Pour un produit B2B à 5-6€/pièce, les décideurs ont besoin de noms réels, de photos d’établissements, et idéalement de vidéos de chefs s’exprimant.</w:t>
      </w:r>
    </w:p>
    <w:p>
      <w:pPr>
        <w:pStyle w:val="Heading3"/>
      </w:pPr>
      <w:r>
        <w:t>Section presse</w:t>
      </w:r>
    </w:p>
    <w:p>
      <w:pPr>
        <w:spacing w:after="120" w:line="276" w:lineRule="auto"/>
      </w:pPr>
      <w:r>
        <w:rPr>
          <w:rFonts w:ascii="Arial" w:hAnsi="Arial"/>
          <w:color w:val="333333"/>
          <w:sz w:val="21"/>
        </w:rPr>
        <w:t>La section «Ils parlent de nous» (La Provence, Bouches-du-Rhône Entreprendre) est un excellent signal d’autorité. Mais les citations sont présentées sans lien vers les articles originaux, sans logo du média visible, sans date précise. L’effet «vu dans» est dilué par un traitement graphique trop sobre.</w:t>
      </w:r>
    </w:p>
    <w:p>
      <w:pPr>
        <w:pStyle w:val="Heading2"/>
      </w:pPr>
      <w:r>
        <w:t>4.2 Rareté et urgence (Scarcity)</w:t>
      </w:r>
    </w:p>
    <w:p>
      <w:pPr>
        <w:spacing w:after="120" w:line="276" w:lineRule="auto"/>
      </w:pPr>
      <w:r>
        <w:rPr>
          <w:rFonts w:ascii="Arial" w:hAnsi="Arial"/>
          <w:color w:val="333333"/>
          <w:sz w:val="21"/>
        </w:rPr>
        <w:t>Aucun levier de rareté n’est utilisé. Pour un produit artisanal avec des capacités de production limitées, c’est une opportunité manquée considérable. Pistes : «Capacité de production : X pièces/semaine — 3 créneaux disponibles ce mois», «Collection saisonnière — Disponible jusqu’au [date]», «Nouveau partenaire cette semaine».</w:t>
      </w:r>
    </w:p>
    <w:p>
      <w:pPr>
        <w:pStyle w:val="Heading2"/>
      </w:pPr>
      <w:r>
        <w:t>4.3 Autorité et expertise</w:t>
      </w:r>
    </w:p>
    <w:p>
      <w:pPr>
        <w:spacing w:after="120" w:line="276" w:lineRule="auto"/>
      </w:pPr>
      <w:r>
        <w:rPr>
          <w:rFonts w:ascii="Arial" w:hAnsi="Arial"/>
          <w:color w:val="333333"/>
          <w:sz w:val="21"/>
        </w:rPr>
        <w:t>La section «Savoir-faire» avec les 4 étapes est excellente pour la justification du prix premium. Le portrait du fondateur apporte la caution humaine. Mais il manque : des certifications ou formations (MOF, écoles de pâtisserie), des chiffres de production (pièces créées, heures de R&amp;D), et un ancrage temporel plus fort pour compenser la jeunesse de la marque (2024).</w:t>
      </w:r>
    </w:p>
    <w:p>
      <w:pPr>
        <w:pStyle w:val="Heading2"/>
      </w:pPr>
      <w:r>
        <w:t>4.4 Désirabilité et effet wow</w:t>
      </w:r>
    </w:p>
    <w:p>
      <w:pPr>
        <w:spacing w:after="120" w:line="276" w:lineRule="auto"/>
      </w:pPr>
      <w:r>
        <w:rPr>
          <w:rFonts w:ascii="Arial" w:hAnsi="Arial"/>
          <w:color w:val="333333"/>
          <w:sz w:val="21"/>
        </w:rPr>
        <w:t>Le produit est intrinsèquement viral. La vidéo hero de découpe est un excellent premier pas — elle prouve le concept immédiatement. Mais le site sous-exploite encore le potentiel viral : il n’y a aucun feed Instagram/TikTok intégré, aucune galerie UGC (contenu généré par les clients), et une seule vidéo est utilisée pour tout le site. Diversifier les vidéos par produit et intégrer le contenu social amplifierait considérablement l’effet «wow».</w:t>
      </w:r>
    </w:p>
    <w:p>
      <w:pPr>
        <w:pStyle w:val="Heading2"/>
      </w:pPr>
      <w:r>
        <w:t>4.5 Formulaire catalogue B2B</w:t>
      </w:r>
    </w:p>
    <w:p>
      <w:pPr>
        <w:spacing w:after="120" w:line="276" w:lineRule="auto"/>
      </w:pPr>
      <w:r>
        <w:rPr>
          <w:rFonts w:ascii="Arial" w:hAnsi="Arial"/>
          <w:color w:val="333333"/>
          <w:sz w:val="21"/>
        </w:rPr>
        <w:t>Le bloc «Recevez notre catalogue &amp; tarifs B2B» est bien positionné en fin de page. Cependant, il demande deux champs (nom d’établissement + email) — barrière trop élevée pour un premier contact. Proposer le catalogue en échange du seul email réduirait la friction et augmenterait le taux de conversion d’environ 40% (benchmark Hubspot).</w:t>
      </w:r>
    </w:p>
    <w:p>
      <w:r>
        <w:br w:type="page"/>
      </w:r>
    </w:p>
    <w:p>
      <w:pPr>
        <w:pStyle w:val="Heading1"/>
      </w:pPr>
      <w:r>
        <w:t>5. Analyse Technique &amp; Mobile</w:t>
      </w:r>
    </w:p>
    <w:tbl>
      <w:tblPr>
        <w:tblW w:type="auto" w:w="0"/>
        <w:jc w:val="center"/>
        <w:tblLayout w:type="fixed"/>
        <w:tblLook w:firstColumn="1" w:firstRow="1" w:lastColumn="0" w:lastRow="0" w:noHBand="0" w:noVBand="1" w:val="04A0"/>
      </w:tblPr>
      <w:tblGrid>
        <w:gridCol w:w="4680"/>
        <w:gridCol w:w="4680"/>
      </w:tblGrid>
      <w:tr>
        <w:tc>
          <w:tcPr>
            <w:tcW w:type="dxa" w:w="1728"/>
            <w:shd w:fill="E65100" w:val="clear"/>
          </w:tcPr>
          <w:p>
            <w:pPr>
              <w:jc w:val="center"/>
            </w:pPr>
            <w:r>
              <w:rPr>
                <w:rFonts w:ascii="Georgia" w:hAnsi="Georgia"/>
                <w:b/>
                <w:color w:val="FFFFFF"/>
                <w:sz w:val="36"/>
              </w:rPr>
              <w:t>6/10</w:t>
            </w:r>
          </w:p>
        </w:tc>
        <w:tc>
          <w:tcPr>
            <w:tcW w:type="dxa" w:w="7632"/>
            <w:shd w:fill="FAF5EF" w:val="clear"/>
          </w:tcPr>
          <w:p>
            <w:r>
              <w:rPr>
                <w:rFonts w:ascii="Arial" w:hAnsi="Arial"/>
                <w:b/>
                <w:color w:val="1A1714"/>
                <w:sz w:val="22"/>
              </w:rPr>
              <w:t>Base solide, dette technique en croissance</w:t>
            </w:r>
          </w:p>
          <w:p>
            <w:r>
              <w:rPr>
                <w:rFonts w:ascii="Arial" w:hAnsi="Arial"/>
                <w:color w:val="6B6560"/>
                <w:sz w:val="19"/>
              </w:rPr>
              <w:t>Le code est bien structuré mais accumule les anti-patterns. Mobile fonctionnel mais non optimisé.</w:t>
            </w:r>
          </w:p>
        </w:tc>
      </w:tr>
    </w:tbl>
    <w:p/>
    <w:p>
      <w:pPr>
        <w:pStyle w:val="Heading2"/>
      </w:pPr>
      <w:r>
        <w:t>5.1 Architecture CSS</w:t>
      </w:r>
    </w:p>
    <w:p>
      <w:pPr>
        <w:spacing w:after="120" w:line="276" w:lineRule="auto"/>
      </w:pPr>
      <w:r>
        <w:rPr>
          <w:rFonts w:ascii="Arial" w:hAnsi="Arial"/>
          <w:color w:val="333333"/>
          <w:sz w:val="21"/>
        </w:rPr>
        <w:t>Le design system CSS est bien organisé avec des tokens (:root), un reset propre, et un système de composants nommés. Cependant, l’absence de spacing scale normalisé, la présence de !important sur la grille produit, et les valeurs magiques (z-index 10002, 10005 sans système) révèlent une dette technique en croissance.</w:t>
      </w:r>
    </w:p>
    <w:p>
      <w:pPr>
        <w:pStyle w:val="Heading2"/>
      </w:pPr>
      <w:r>
        <w:t>5.2 Accessibilité (WCAG 2.1)</w:t>
      </w:r>
    </w:p>
    <w:p>
      <w:pPr>
        <w:pStyle w:val="Heading3"/>
      </w:pPr>
      <w:r>
        <w:t>Points positifs</w:t>
      </w:r>
    </w:p>
    <w:p>
      <w:pPr>
        <w:spacing w:after="120" w:line="276" w:lineRule="auto"/>
      </w:pPr>
      <w:r>
        <w:rPr>
          <w:rFonts w:ascii="Arial" w:hAnsi="Arial"/>
          <w:color w:val="333333"/>
          <w:sz w:val="21"/>
        </w:rPr>
        <w:t>ARIA : role=dialog sur les modales, aria-label sur les boutons, aria-expanded sur les FAQ et le burger, aria-live=polite sur le chat. Skip-to-content link présent. C’est au-dessus de la moyenne du marché.</w:t>
      </w:r>
    </w:p>
    <w:p>
      <w:pPr>
        <w:pStyle w:val="Heading3"/>
      </w:pPr>
      <w:r>
        <w:t>Problèmes critiques</w:t>
      </w:r>
    </w:p>
    <w:p>
      <w:pPr>
        <w:pStyle w:val="ListBullet"/>
        <w:spacing w:after="80"/>
      </w:pPr>
      <w:r>
        <w:rPr>
          <w:rFonts w:ascii="Arial" w:hAnsi="Arial"/>
          <w:color w:val="333333"/>
          <w:sz w:val="21"/>
        </w:rPr>
        <w:t>Aucun focus-visible : outline:none appliqué globalement sur les inputs et boutons. Les utilisateurs clavier sont totalement aveugles.</w:t>
      </w:r>
    </w:p>
    <w:p>
      <w:pPr>
        <w:pStyle w:val="ListBullet"/>
        <w:spacing w:after="80"/>
      </w:pPr>
      <w:r>
        <w:rPr>
          <w:rFonts w:ascii="Arial" w:hAnsi="Arial"/>
          <w:color w:val="333333"/>
          <w:sz w:val="21"/>
        </w:rPr>
        <w:t>Pas de @media (prefers-reduced-motion: reduce) : toutes les animations GSAP et CSS jouent inconditionnellement — violation du critère WCAG 2.3.3.</w:t>
      </w:r>
    </w:p>
    <w:p>
      <w:pPr>
        <w:pStyle w:val="ListBullet"/>
        <w:spacing w:after="80"/>
      </w:pPr>
      <w:r>
        <w:rPr>
          <w:rFonts w:ascii="Arial" w:hAnsi="Arial"/>
          <w:color w:val="333333"/>
          <w:sz w:val="21"/>
        </w:rPr>
        <w:t>Le menu overlay mobile ne piège pas le focus (focus trap manquant) — un utilisateur clavier peut tabuler derrière la modale ouverte.</w:t>
      </w:r>
    </w:p>
    <w:p>
      <w:pPr>
        <w:pStyle w:val="Heading2"/>
      </w:pPr>
      <w:r>
        <w:t>5.3 Performance</w:t>
      </w:r>
    </w:p>
    <w:p>
      <w:pPr>
        <w:pStyle w:val="ListBullet"/>
        <w:spacing w:after="80"/>
      </w:pPr>
      <w:r>
        <w:rPr>
          <w:rFonts w:ascii="Arial" w:hAnsi="Arial"/>
          <w:color w:val="333333"/>
          <w:sz w:val="21"/>
        </w:rPr>
        <w:t>Overlay grain SVG (feTurbulence) fixé sur tout le viewport avec z-index 9999 : impact GPU significatif sur mobile bas de gamme.</w:t>
      </w:r>
    </w:p>
    <w:p>
      <w:pPr>
        <w:pStyle w:val="ListBullet"/>
        <w:spacing w:after="80"/>
      </w:pPr>
      <w:r>
        <w:rPr>
          <w:rFonts w:ascii="Arial" w:hAnsi="Arial"/>
          <w:color w:val="333333"/>
          <w:sz w:val="21"/>
        </w:rPr>
        <w:t>Backdrop-filter: blur(24px) sur la navbar sans will-change : contexte de compositing coûteux.</w:t>
      </w:r>
    </w:p>
    <w:p>
      <w:pPr>
        <w:pStyle w:val="ListBullet"/>
        <w:spacing w:after="80"/>
      </w:pPr>
      <w:r>
        <w:rPr>
          <w:rFonts w:ascii="Arial" w:hAnsi="Arial"/>
          <w:color w:val="333333"/>
          <w:sz w:val="21"/>
        </w:rPr>
        <w:t>GSAP + ScrollTrigger via CDN sans tree-shaking : poids estimé ~80kb gzippé.</w:t>
      </w:r>
    </w:p>
    <w:p>
      <w:pPr>
        <w:pStyle w:val="ListBullet"/>
        <w:spacing w:after="80"/>
      </w:pPr>
      <w:r>
        <w:rPr>
          <w:rFonts w:ascii="Arial" w:hAnsi="Arial"/>
          <w:color w:val="333333"/>
          <w:sz w:val="21"/>
        </w:rPr>
        <w:t>Images en WebP (bien) mais pas de fallback AVIF ni de lazy loading systématique.</w:t>
      </w:r>
    </w:p>
    <w:p>
      <w:pPr>
        <w:pStyle w:val="Heading2"/>
      </w:pPr>
      <w:r>
        <w:t>5.4 Mobile</w:t>
      </w:r>
    </w:p>
    <w:p>
      <w:pPr>
        <w:spacing w:after="120" w:line="276" w:lineRule="auto"/>
      </w:pPr>
      <w:r>
        <w:rPr>
          <w:rFonts w:ascii="Arial" w:hAnsi="Arial"/>
          <w:color w:val="333333"/>
          <w:sz w:val="21"/>
        </w:rPr>
        <w:t>Le responsive fonctionne avec des breakpoints à 1024px, 768px et 480px. Le carrousel produit en scroll horizontal snap est le bon pattern mobile. Mais : aucune gestion des safe-area (env(safe-area-inset)) pour les iPhone à encoche, les filter pills (0.5rem padding) sont en dessous du seuil tactile de 44px, et le widget chat chevauche le CTA principal sur les écrans de 375px.</w:t>
      </w:r>
    </w:p>
    <w:p>
      <w:pPr>
        <w:pStyle w:val="Heading2"/>
      </w:pPr>
      <w:r>
        <w:t>5.5 SEO technique</w:t>
      </w:r>
    </w:p>
    <w:p>
      <w:pPr>
        <w:spacing w:after="120" w:line="276" w:lineRule="auto"/>
      </w:pPr>
      <w:r>
        <w:rPr>
          <w:rFonts w:ascii="Arial" w:hAnsi="Arial"/>
          <w:color w:val="333333"/>
          <w:sz w:val="21"/>
        </w:rPr>
        <w:t>Les fondations sont là : Schema.org LocalBusiness + FAQPage, balises OG, canonical, meta description. Les pages existent mais les URLs sans extension .html renvoient des 404 — problème de configuration serveur à régler. L’architecture one-page de la homepage limite le potentiel SEO. Il manque un blog et des pages géo-ciblées pour capter du trafic organique.</w:t>
      </w:r>
    </w:p>
    <w:p>
      <w:r>
        <w:br w:type="page"/>
      </w:r>
    </w:p>
    <w:p>
      <w:pPr>
        <w:pStyle w:val="Heading1"/>
      </w:pPr>
      <w:r>
        <w:t>6. Quick Wins &amp; Roadmap Stratégique</w:t>
      </w:r>
    </w:p>
    <w:p>
      <w:pPr>
        <w:pStyle w:val="Heading2"/>
      </w:pPr>
      <w:r>
        <w:t>6.1 — 5 Quick Wins à fort impact (sous 2 semaines)</w:t>
      </w:r>
    </w:p>
    <w:p>
      <w:pPr>
        <w:spacing w:after="120" w:line="276" w:lineRule="auto"/>
      </w:pPr>
      <w:r>
        <w:rPr>
          <w:rFonts w:ascii="Arial" w:hAnsi="Arial"/>
          <w:b/>
          <w:color w:val="1A1714"/>
          <w:sz w:val="21"/>
        </w:rPr>
        <w:t xml:space="preserve">1. Renforcer la preuve sociale avec des témoignages nominatifs — </w:t>
      </w:r>
      <w:r>
        <w:rPr>
          <w:rFonts w:ascii="Arial" w:hAnsi="Arial"/>
          <w:color w:val="333333"/>
          <w:sz w:val="21"/>
        </w:rPr>
        <w:t>Ajouter 3 à 5 témoignages avec photos réelles des chefs/gérants et noms d’établissements. Remplacer les logos génériques actuels. Ajouter les logos des médias dans la section presse. Impact : +25% de confiance perçue (benchmark Baymard Institute).</w:t>
      </w:r>
    </w:p>
    <w:p>
      <w:pPr>
        <w:spacing w:after="120" w:line="276" w:lineRule="auto"/>
      </w:pPr>
      <w:r>
        <w:rPr>
          <w:rFonts w:ascii="Arial" w:hAnsi="Arial"/>
          <w:b/>
          <w:color w:val="1A1714"/>
          <w:sz w:val="21"/>
        </w:rPr>
        <w:t xml:space="preserve">2. Configurer les clean URLs — </w:t>
      </w:r>
      <w:r>
        <w:rPr>
          <w:rFonts w:ascii="Arial" w:hAnsi="Arial"/>
          <w:color w:val="333333"/>
          <w:sz w:val="21"/>
        </w:rPr>
        <w:t>Configurer la réécriture d’URL sur l’hébergeur pour servir les .html sans extension (ex: /notre-histoire au lieu de /notre-histoire.html). Ajouter une page 404 custom brandée. Impact immédiat sur le SEO et l’expérience de partage de liens.</w:t>
      </w:r>
    </w:p>
    <w:p>
      <w:pPr>
        <w:spacing w:after="120" w:line="276" w:lineRule="auto"/>
      </w:pPr>
      <w:r>
        <w:rPr>
          <w:rFonts w:ascii="Arial" w:hAnsi="Arial"/>
          <w:b/>
          <w:color w:val="1A1714"/>
          <w:sz w:val="21"/>
        </w:rPr>
        <w:t xml:space="preserve">3. CTA «Demander ma dégustation gratuite» après chaque section — </w:t>
      </w:r>
      <w:r>
        <w:rPr>
          <w:rFonts w:ascii="Arial" w:hAnsi="Arial"/>
          <w:color w:val="333333"/>
          <w:sz w:val="21"/>
        </w:rPr>
        <w:t>Un CTA contextuel après Savoir-faire, Témoignages, Presse. Impact estimé : +35% de taux de conversion formulaire (benchmark CRO Unbounce).</w:t>
      </w:r>
    </w:p>
    <w:p>
      <w:pPr>
        <w:spacing w:after="120" w:line="276" w:lineRule="auto"/>
      </w:pPr>
      <w:r>
        <w:rPr>
          <w:rFonts w:ascii="Arial" w:hAnsi="Arial"/>
          <w:b/>
          <w:color w:val="1A1714"/>
          <w:sz w:val="21"/>
        </w:rPr>
        <w:t xml:space="preserve">4. Ajouter :focus-visible et prefers-reduced-motion — </w:t>
      </w:r>
      <w:r>
        <w:rPr>
          <w:rFonts w:ascii="Arial" w:hAnsi="Arial"/>
          <w:color w:val="333333"/>
          <w:sz w:val="21"/>
        </w:rPr>
        <w:t>20 lignes de CSS pour la conformité WCAG. Réduit le risque juridique et ouvre le marché aux établissements publics soumis au RGAA.</w:t>
      </w:r>
    </w:p>
    <w:p>
      <w:pPr>
        <w:spacing w:after="120" w:line="276" w:lineRule="auto"/>
      </w:pPr>
      <w:r>
        <w:rPr>
          <w:rFonts w:ascii="Arial" w:hAnsi="Arial"/>
          <w:b/>
          <w:color w:val="1A1714"/>
          <w:sz w:val="21"/>
        </w:rPr>
        <w:t xml:space="preserve">5. Simplifier le formulaire catalogue à 1 champ (email) — </w:t>
      </w:r>
      <w:r>
        <w:rPr>
          <w:rFonts w:ascii="Arial" w:hAnsi="Arial"/>
          <w:color w:val="333333"/>
          <w:sz w:val="21"/>
        </w:rPr>
        <w:t>Réduire la friction du lead magnet. Enrichir les données postérieurement via email de bienvenue segmenté. Impact : +40% de taux de complétion.</w:t>
      </w:r>
    </w:p>
    <w:p>
      <w:pPr>
        <w:pStyle w:val="Heading2"/>
      </w:pPr>
      <w:r>
        <w:t>6.2 — 3 Recommandations stratégiques long terme (3-6 mois)</w:t>
      </w:r>
    </w:p>
    <w:p>
      <w:pPr>
        <w:spacing w:after="120" w:line="276" w:lineRule="auto"/>
      </w:pPr>
      <w:r>
        <w:rPr>
          <w:rFonts w:ascii="Arial" w:hAnsi="Arial"/>
          <w:b/>
          <w:color w:val="1A1714"/>
          <w:sz w:val="21"/>
        </w:rPr>
        <w:t xml:space="preserve">1. Stratégie de contenu vidéo-first — </w:t>
      </w:r>
      <w:r>
        <w:rPr>
          <w:rFonts w:ascii="Arial" w:hAnsi="Arial"/>
          <w:color w:val="333333"/>
          <w:sz w:val="21"/>
        </w:rPr>
        <w:t>Créer une bibliothèque de 20+ vidéos courtes (découpes, coulisses, témoignages chefs). Intégrer un feed social live sur le site. Lancer une série «Le Mirage de la semaine» sur Instagram/TikTok. Le produit est intrinsèquement viral — c’est le contenu qui fera la différence.</w:t>
      </w:r>
    </w:p>
    <w:p>
      <w:pPr>
        <w:spacing w:after="120" w:line="276" w:lineRule="auto"/>
      </w:pPr>
      <w:r>
        <w:rPr>
          <w:rFonts w:ascii="Arial" w:hAnsi="Arial"/>
          <w:b/>
          <w:color w:val="1A1714"/>
          <w:sz w:val="21"/>
        </w:rPr>
        <w:t xml:space="preserve">2. Configurateur de devis interactif — </w:t>
      </w:r>
      <w:r>
        <w:rPr>
          <w:rFonts w:ascii="Arial" w:hAnsi="Arial"/>
          <w:color w:val="333333"/>
          <w:sz w:val="21"/>
        </w:rPr>
        <w:t>Remplacer le formulaire générique par un outil en 3 étapes : choix des pièces → quantités → devis instantané avec tarifs dégressifs. Cela gamifie l’expérience, qualifie les leads, et réduit le cycle de vente.</w:t>
      </w:r>
    </w:p>
    <w:p>
      <w:pPr>
        <w:spacing w:after="120" w:line="276" w:lineRule="auto"/>
      </w:pPr>
      <w:r>
        <w:rPr>
          <w:rFonts w:ascii="Arial" w:hAnsi="Arial"/>
          <w:b/>
          <w:color w:val="1A1714"/>
          <w:sz w:val="21"/>
        </w:rPr>
        <w:t xml:space="preserve">3. Programme Case Studies partenaires — </w:t>
      </w:r>
      <w:r>
        <w:rPr>
          <w:rFonts w:ascii="Arial" w:hAnsi="Arial"/>
          <w:color w:val="333333"/>
          <w:sz w:val="21"/>
        </w:rPr>
        <w:t>Documenter 5 à 8 partenariats avec métriques réelles (augmentation ticket moyen, taux de récommande). Créer des pages dédiées avec photos in situ, interview vidéo, données avant/après. C’est la preuve sociale la plus puissante en B2B.</w:t>
      </w:r>
    </w:p>
    <w:p/>
    <w:p>
      <w:pPr>
        <w:pStyle w:val="Heading2"/>
      </w:pPr>
      <w:r>
        <w:t>6.3 — Matrice de priorisation complète</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A1714" w:val="clear"/>
          </w:tcPr>
          <w:p>
            <w:pPr>
              <w:jc w:val="center"/>
            </w:pPr>
            <w:r>
              <w:rPr>
                <w:rFonts w:ascii="Arial" w:hAnsi="Arial"/>
                <w:b/>
                <w:color w:val="FFFFFF"/>
                <w:sz w:val="16"/>
              </w:rPr>
              <w:t>SEVERITE</w:t>
            </w:r>
          </w:p>
        </w:tc>
        <w:tc>
          <w:tcPr>
            <w:tcW w:type="dxa" w:w="5472"/>
            <w:shd w:fill="1A1714" w:val="clear"/>
          </w:tcPr>
          <w:p>
            <w:pPr>
              <w:jc w:val="center"/>
            </w:pPr>
            <w:r>
              <w:rPr>
                <w:rFonts w:ascii="Arial" w:hAnsi="Arial"/>
                <w:b/>
                <w:color w:val="FFFFFF"/>
                <w:sz w:val="16"/>
              </w:rPr>
              <w:t>ACTION</w:t>
            </w:r>
          </w:p>
        </w:tc>
        <w:tc>
          <w:tcPr>
            <w:tcW w:type="dxa" w:w="2448"/>
            <w:shd w:fill="1A1714" w:val="clear"/>
          </w:tcPr>
          <w:p>
            <w:pPr>
              <w:jc w:val="center"/>
            </w:pPr>
            <w:r>
              <w:rPr>
                <w:rFonts w:ascii="Arial" w:hAnsi="Arial"/>
                <w:b/>
                <w:color w:val="FFFFFF"/>
                <w:sz w:val="16"/>
              </w:rPr>
              <w:t>IMPACT</w:t>
            </w:r>
          </w:p>
        </w:tc>
      </w:tr>
      <w:tr>
        <w:tc>
          <w:tcPr>
            <w:tcW w:type="dxa" w:w="1440"/>
            <w:shd w:fill="E65100" w:val="clear"/>
          </w:tcPr>
          <w:p>
            <w:pPr>
              <w:jc w:val="center"/>
            </w:pPr>
            <w:r>
              <w:rPr>
                <w:rFonts w:ascii="Arial" w:hAnsi="Arial"/>
                <w:b/>
                <w:color w:val="FFFFFF"/>
                <w:sz w:val="16"/>
              </w:rPr>
              <w:t>HAUTE</w:t>
            </w:r>
          </w:p>
        </w:tc>
        <w:tc>
          <w:tcPr>
            <w:tcW w:type="dxa" w:w="5472"/>
          </w:tcPr>
          <w:p>
            <w:r>
              <w:rPr>
                <w:rFonts w:ascii="Arial" w:hAnsi="Arial"/>
                <w:color w:val="1A1714"/>
                <w:sz w:val="19"/>
              </w:rPr>
              <w:t>Configurer clean URLs (réécriture sans .html)</w:t>
            </w:r>
          </w:p>
        </w:tc>
        <w:tc>
          <w:tcPr>
            <w:tcW w:type="dxa" w:w="2448"/>
          </w:tcPr>
          <w:p>
            <w:r>
              <w:rPr>
                <w:rFonts w:ascii="Arial" w:hAnsi="Arial"/>
                <w:color w:val="6B6560"/>
                <w:sz w:val="19"/>
              </w:rPr>
              <w:t>SEO, UX, partage liens</w:t>
            </w:r>
          </w:p>
        </w:tc>
      </w:tr>
      <w:tr>
        <w:tc>
          <w:tcPr>
            <w:tcW w:type="dxa" w:w="1440"/>
            <w:shd w:fill="C62828" w:val="clear"/>
          </w:tcPr>
          <w:p>
            <w:pPr>
              <w:jc w:val="center"/>
            </w:pPr>
            <w:r>
              <w:rPr>
                <w:rFonts w:ascii="Arial" w:hAnsi="Arial"/>
                <w:b/>
                <w:color w:val="FFFFFF"/>
                <w:sz w:val="16"/>
              </w:rPr>
              <w:t>CRITIQUE</w:t>
            </w:r>
          </w:p>
        </w:tc>
        <w:tc>
          <w:tcPr>
            <w:tcW w:type="dxa" w:w="5472"/>
          </w:tcPr>
          <w:p>
            <w:r>
              <w:rPr>
                <w:rFonts w:ascii="Arial" w:hAnsi="Arial"/>
                <w:color w:val="1A1714"/>
                <w:sz w:val="19"/>
              </w:rPr>
              <w:t>Ajouter focus-visible + prefers-reduced-motion</w:t>
            </w:r>
          </w:p>
        </w:tc>
        <w:tc>
          <w:tcPr>
            <w:tcW w:type="dxa" w:w="2448"/>
          </w:tcPr>
          <w:p>
            <w:r>
              <w:rPr>
                <w:rFonts w:ascii="Arial" w:hAnsi="Arial"/>
                <w:color w:val="6B6560"/>
                <w:sz w:val="19"/>
              </w:rPr>
              <w:t>Accessibilité, RGAA</w:t>
            </w:r>
          </w:p>
        </w:tc>
      </w:tr>
      <w:tr>
        <w:tc>
          <w:tcPr>
            <w:tcW w:type="dxa" w:w="1440"/>
            <w:shd w:fill="E65100" w:val="clear"/>
          </w:tcPr>
          <w:p>
            <w:pPr>
              <w:jc w:val="center"/>
            </w:pPr>
            <w:r>
              <w:rPr>
                <w:rFonts w:ascii="Arial" w:hAnsi="Arial"/>
                <w:b/>
                <w:color w:val="FFFFFF"/>
                <w:sz w:val="16"/>
              </w:rPr>
              <w:t>HAUTE</w:t>
            </w:r>
          </w:p>
        </w:tc>
        <w:tc>
          <w:tcPr>
            <w:tcW w:type="dxa" w:w="5472"/>
          </w:tcPr>
          <w:p>
            <w:r>
              <w:rPr>
                <w:rFonts w:ascii="Arial" w:hAnsi="Arial"/>
                <w:color w:val="1A1714"/>
                <w:sz w:val="19"/>
              </w:rPr>
              <w:t>Témoignages nominatifs + logos médias presse</w:t>
            </w:r>
          </w:p>
        </w:tc>
        <w:tc>
          <w:tcPr>
            <w:tcW w:type="dxa" w:w="2448"/>
          </w:tcPr>
          <w:p>
            <w:r>
              <w:rPr>
                <w:rFonts w:ascii="Arial" w:hAnsi="Arial"/>
                <w:color w:val="6B6560"/>
                <w:sz w:val="19"/>
              </w:rPr>
              <w:t>Confiance +25%</w:t>
            </w:r>
          </w:p>
        </w:tc>
      </w:tr>
      <w:tr>
        <w:tc>
          <w:tcPr>
            <w:tcW w:type="dxa" w:w="1440"/>
            <w:shd w:fill="E65100" w:val="clear"/>
          </w:tcPr>
          <w:p>
            <w:pPr>
              <w:jc w:val="center"/>
            </w:pPr>
            <w:r>
              <w:rPr>
                <w:rFonts w:ascii="Arial" w:hAnsi="Arial"/>
                <w:b/>
                <w:color w:val="FFFFFF"/>
                <w:sz w:val="16"/>
              </w:rPr>
              <w:t>HAUTE</w:t>
            </w:r>
          </w:p>
        </w:tc>
        <w:tc>
          <w:tcPr>
            <w:tcW w:type="dxa" w:w="5472"/>
          </w:tcPr>
          <w:p>
            <w:r>
              <w:rPr>
                <w:rFonts w:ascii="Arial" w:hAnsi="Arial"/>
                <w:color w:val="1A1714"/>
                <w:sz w:val="19"/>
              </w:rPr>
              <w:t>CTA contextuels après chaque section</w:t>
            </w:r>
          </w:p>
        </w:tc>
        <w:tc>
          <w:tcPr>
            <w:tcW w:type="dxa" w:w="2448"/>
          </w:tcPr>
          <w:p>
            <w:r>
              <w:rPr>
                <w:rFonts w:ascii="Arial" w:hAnsi="Arial"/>
                <w:color w:val="6B6560"/>
                <w:sz w:val="19"/>
              </w:rPr>
              <w:t>Conversion +35%</w:t>
            </w:r>
          </w:p>
        </w:tc>
      </w:tr>
      <w:tr>
        <w:tc>
          <w:tcPr>
            <w:tcW w:type="dxa" w:w="1440"/>
            <w:shd w:fill="E65100" w:val="clear"/>
          </w:tcPr>
          <w:p>
            <w:pPr>
              <w:jc w:val="center"/>
            </w:pPr>
            <w:r>
              <w:rPr>
                <w:rFonts w:ascii="Arial" w:hAnsi="Arial"/>
                <w:b/>
                <w:color w:val="FFFFFF"/>
                <w:sz w:val="16"/>
              </w:rPr>
              <w:t>HAUTE</w:t>
            </w:r>
          </w:p>
        </w:tc>
        <w:tc>
          <w:tcPr>
            <w:tcW w:type="dxa" w:w="5472"/>
          </w:tcPr>
          <w:p>
            <w:r>
              <w:rPr>
                <w:rFonts w:ascii="Arial" w:hAnsi="Arial"/>
                <w:color w:val="1A1714"/>
                <w:sz w:val="19"/>
              </w:rPr>
              <w:t>Simplifier formulaire catalogue (1 champ)</w:t>
            </w:r>
          </w:p>
        </w:tc>
        <w:tc>
          <w:tcPr>
            <w:tcW w:type="dxa" w:w="2448"/>
          </w:tcPr>
          <w:p>
            <w:r>
              <w:rPr>
                <w:rFonts w:ascii="Arial" w:hAnsi="Arial"/>
                <w:color w:val="6B6560"/>
                <w:sz w:val="19"/>
              </w:rPr>
              <w:t>Leads +40%</w:t>
            </w:r>
          </w:p>
        </w:tc>
      </w:tr>
      <w:tr>
        <w:tc>
          <w:tcPr>
            <w:tcW w:type="dxa" w:w="1440"/>
            <w:shd w:fill="E65100" w:val="clear"/>
          </w:tcPr>
          <w:p>
            <w:pPr>
              <w:jc w:val="center"/>
            </w:pPr>
            <w:r>
              <w:rPr>
                <w:rFonts w:ascii="Arial" w:hAnsi="Arial"/>
                <w:b/>
                <w:color w:val="FFFFFF"/>
                <w:sz w:val="16"/>
              </w:rPr>
              <w:t>HAUTE</w:t>
            </w:r>
          </w:p>
        </w:tc>
        <w:tc>
          <w:tcPr>
            <w:tcW w:type="dxa" w:w="5472"/>
          </w:tcPr>
          <w:p>
            <w:r>
              <w:rPr>
                <w:rFonts w:ascii="Arial" w:hAnsi="Arial"/>
                <w:color w:val="1A1714"/>
                <w:sz w:val="19"/>
              </w:rPr>
              <w:t>Ajouter tarifs dégressifs sur fiches produit</w:t>
            </w:r>
          </w:p>
        </w:tc>
        <w:tc>
          <w:tcPr>
            <w:tcW w:type="dxa" w:w="2448"/>
          </w:tcPr>
          <w:p>
            <w:r>
              <w:rPr>
                <w:rFonts w:ascii="Arial" w:hAnsi="Arial"/>
                <w:color w:val="6B6560"/>
                <w:sz w:val="19"/>
              </w:rPr>
              <w:t>Qualification leads</w:t>
            </w:r>
          </w:p>
        </w:tc>
      </w:tr>
      <w:tr>
        <w:tc>
          <w:tcPr>
            <w:tcW w:type="dxa" w:w="1440"/>
            <w:shd w:fill="F9A825" w:val="clear"/>
          </w:tcPr>
          <w:p>
            <w:pPr>
              <w:jc w:val="center"/>
            </w:pPr>
            <w:r>
              <w:rPr>
                <w:rFonts w:ascii="Arial" w:hAnsi="Arial"/>
                <w:b/>
                <w:color w:val="FFFFFF"/>
                <w:sz w:val="16"/>
              </w:rPr>
              <w:t>MOYENNE</w:t>
            </w:r>
          </w:p>
        </w:tc>
        <w:tc>
          <w:tcPr>
            <w:tcW w:type="dxa" w:w="5472"/>
          </w:tcPr>
          <w:p>
            <w:r>
              <w:rPr>
                <w:rFonts w:ascii="Arial" w:hAnsi="Arial"/>
                <w:color w:val="1A1714"/>
                <w:sz w:val="19"/>
              </w:rPr>
              <w:t>Varier les vidéos par section (pas le même fichier partout)</w:t>
            </w:r>
          </w:p>
        </w:tc>
        <w:tc>
          <w:tcPr>
            <w:tcW w:type="dxa" w:w="2448"/>
          </w:tcPr>
          <w:p>
            <w:r>
              <w:rPr>
                <w:rFonts w:ascii="Arial" w:hAnsi="Arial"/>
                <w:color w:val="6B6560"/>
                <w:sz w:val="19"/>
              </w:rPr>
              <w:t>Richesse perçue</w:t>
            </w:r>
          </w:p>
        </w:tc>
      </w:tr>
      <w:tr>
        <w:tc>
          <w:tcPr>
            <w:tcW w:type="dxa" w:w="1440"/>
            <w:shd w:fill="F9A825" w:val="clear"/>
          </w:tcPr>
          <w:p>
            <w:pPr>
              <w:jc w:val="center"/>
            </w:pPr>
            <w:r>
              <w:rPr>
                <w:rFonts w:ascii="Arial" w:hAnsi="Arial"/>
                <w:b/>
                <w:color w:val="FFFFFF"/>
                <w:sz w:val="16"/>
              </w:rPr>
              <w:t>MOYENNE</w:t>
            </w:r>
          </w:p>
        </w:tc>
        <w:tc>
          <w:tcPr>
            <w:tcW w:type="dxa" w:w="5472"/>
          </w:tcPr>
          <w:p>
            <w:r>
              <w:rPr>
                <w:rFonts w:ascii="Arial" w:hAnsi="Arial"/>
                <w:color w:val="1A1714"/>
                <w:sz w:val="19"/>
              </w:rPr>
              <w:t>Ajouter poster frames pour connexions lentes</w:t>
            </w:r>
          </w:p>
        </w:tc>
        <w:tc>
          <w:tcPr>
            <w:tcW w:type="dxa" w:w="2448"/>
          </w:tcPr>
          <w:p>
            <w:r>
              <w:rPr>
                <w:rFonts w:ascii="Arial" w:hAnsi="Arial"/>
                <w:color w:val="6B6560"/>
                <w:sz w:val="19"/>
              </w:rPr>
              <w:t>UX mobile</w:t>
            </w:r>
          </w:p>
        </w:tc>
      </w:tr>
      <w:tr>
        <w:tc>
          <w:tcPr>
            <w:tcW w:type="dxa" w:w="1440"/>
            <w:shd w:fill="F9A825" w:val="clear"/>
          </w:tcPr>
          <w:p>
            <w:pPr>
              <w:jc w:val="center"/>
            </w:pPr>
            <w:r>
              <w:rPr>
                <w:rFonts w:ascii="Arial" w:hAnsi="Arial"/>
                <w:b/>
                <w:color w:val="FFFFFF"/>
                <w:sz w:val="16"/>
              </w:rPr>
              <w:t>MOYENNE</w:t>
            </w:r>
          </w:p>
        </w:tc>
        <w:tc>
          <w:tcPr>
            <w:tcW w:type="dxa" w:w="5472"/>
          </w:tcPr>
          <w:p>
            <w:r>
              <w:rPr>
                <w:rFonts w:ascii="Arial" w:hAnsi="Arial"/>
                <w:color w:val="1A1714"/>
                <w:sz w:val="19"/>
              </w:rPr>
              <w:t>Normaliser le spacing scale CSS</w:t>
            </w:r>
          </w:p>
        </w:tc>
        <w:tc>
          <w:tcPr>
            <w:tcW w:type="dxa" w:w="2448"/>
          </w:tcPr>
          <w:p>
            <w:r>
              <w:rPr>
                <w:rFonts w:ascii="Arial" w:hAnsi="Arial"/>
                <w:color w:val="6B6560"/>
                <w:sz w:val="19"/>
              </w:rPr>
              <w:t>Maintenabilité</w:t>
            </w:r>
          </w:p>
        </w:tc>
      </w:tr>
      <w:tr>
        <w:tc>
          <w:tcPr>
            <w:tcW w:type="dxa" w:w="1440"/>
            <w:shd w:fill="F9A825" w:val="clear"/>
          </w:tcPr>
          <w:p>
            <w:pPr>
              <w:jc w:val="center"/>
            </w:pPr>
            <w:r>
              <w:rPr>
                <w:rFonts w:ascii="Arial" w:hAnsi="Arial"/>
                <w:b/>
                <w:color w:val="FFFFFF"/>
                <w:sz w:val="16"/>
              </w:rPr>
              <w:t>MOYENNE</w:t>
            </w:r>
          </w:p>
        </w:tc>
        <w:tc>
          <w:tcPr>
            <w:tcW w:type="dxa" w:w="5472"/>
          </w:tcPr>
          <w:p>
            <w:r>
              <w:rPr>
                <w:rFonts w:ascii="Arial" w:hAnsi="Arial"/>
                <w:color w:val="1A1714"/>
                <w:sz w:val="19"/>
              </w:rPr>
              <w:t>Intégrer feed social (Instagram/TikTok)</w:t>
            </w:r>
          </w:p>
        </w:tc>
        <w:tc>
          <w:tcPr>
            <w:tcW w:type="dxa" w:w="2448"/>
          </w:tcPr>
          <w:p>
            <w:r>
              <w:rPr>
                <w:rFonts w:ascii="Arial" w:hAnsi="Arial"/>
                <w:color w:val="6B6560"/>
                <w:sz w:val="19"/>
              </w:rPr>
              <w:t>Preuve sociale live</w:t>
            </w:r>
          </w:p>
        </w:tc>
      </w:tr>
      <w:tr>
        <w:tc>
          <w:tcPr>
            <w:tcW w:type="dxa" w:w="1440"/>
            <w:shd w:fill="2E7D32" w:val="clear"/>
          </w:tcPr>
          <w:p>
            <w:pPr>
              <w:jc w:val="center"/>
            </w:pPr>
            <w:r>
              <w:rPr>
                <w:rFonts w:ascii="Arial" w:hAnsi="Arial"/>
                <w:b/>
                <w:color w:val="FFFFFF"/>
                <w:sz w:val="16"/>
              </w:rPr>
              <w:t>BASSE</w:t>
            </w:r>
          </w:p>
        </w:tc>
        <w:tc>
          <w:tcPr>
            <w:tcW w:type="dxa" w:w="5472"/>
          </w:tcPr>
          <w:p>
            <w:r>
              <w:rPr>
                <w:rFonts w:ascii="Arial" w:hAnsi="Arial"/>
                <w:color w:val="1A1714"/>
                <w:sz w:val="19"/>
              </w:rPr>
              <w:t>Configurateur de coffret interactif</w:t>
            </w:r>
          </w:p>
        </w:tc>
        <w:tc>
          <w:tcPr>
            <w:tcW w:type="dxa" w:w="2448"/>
          </w:tcPr>
          <w:p>
            <w:r>
              <w:rPr>
                <w:rFonts w:ascii="Arial" w:hAnsi="Arial"/>
                <w:color w:val="6B6560"/>
                <w:sz w:val="19"/>
              </w:rPr>
              <w:t>Différenciation</w:t>
            </w:r>
          </w:p>
        </w:tc>
      </w:tr>
      <w:tr>
        <w:tc>
          <w:tcPr>
            <w:tcW w:type="dxa" w:w="1440"/>
            <w:shd w:fill="2E7D32" w:val="clear"/>
          </w:tcPr>
          <w:p>
            <w:pPr>
              <w:jc w:val="center"/>
            </w:pPr>
            <w:r>
              <w:rPr>
                <w:rFonts w:ascii="Arial" w:hAnsi="Arial"/>
                <w:b/>
                <w:color w:val="FFFFFF"/>
                <w:sz w:val="16"/>
              </w:rPr>
              <w:t>BASSE</w:t>
            </w:r>
          </w:p>
        </w:tc>
        <w:tc>
          <w:tcPr>
            <w:tcW w:type="dxa" w:w="5472"/>
          </w:tcPr>
          <w:p>
            <w:r>
              <w:rPr>
                <w:rFonts w:ascii="Arial" w:hAnsi="Arial"/>
                <w:color w:val="1A1714"/>
                <w:sz w:val="19"/>
              </w:rPr>
              <w:t>Newsletter avec lead magnet PDF</w:t>
            </w:r>
          </w:p>
        </w:tc>
        <w:tc>
          <w:tcPr>
            <w:tcW w:type="dxa" w:w="2448"/>
          </w:tcPr>
          <w:p>
            <w:r>
              <w:rPr>
                <w:rFonts w:ascii="Arial" w:hAnsi="Arial"/>
                <w:color w:val="6B6560"/>
                <w:sz w:val="19"/>
              </w:rPr>
              <w:t>Nurturing</w:t>
            </w:r>
          </w:p>
        </w:tc>
      </w:tr>
    </w:tbl>
    <w:p/>
    <w:p/>
    <w:p>
      <w:pPr>
        <w:pBdr>
          <w:top w:val="single" w:sz="12" w:color="A8895C" w:space="1"/>
        </w:pBdr>
      </w:pPr>
    </w:p>
    <w:p>
      <w:pPr>
        <w:pStyle w:val="Heading1"/>
      </w:pPr>
      <w:r>
        <w:t>Conclusion</w:t>
      </w:r>
    </w:p>
    <w:p>
      <w:pPr>
        <w:spacing w:after="120" w:line="276" w:lineRule="auto"/>
      </w:pPr>
      <w:r>
        <w:rPr>
          <w:rFonts w:ascii="Arial" w:hAnsi="Arial"/>
          <w:color w:val="333333"/>
          <w:sz w:val="21"/>
        </w:rPr>
        <w:t>Maison Mirage possède un produit exceptionnel et une direction artistique qui rivalise avec les plus grandes maisons du secteur. Le monogramme, la palette, la photographie — tout respire le luxe artisanal. Mais le site reste une vitrine contemplative là où il devrait être un outil de conversion impitoyable.</w:t>
      </w:r>
    </w:p>
    <w:p>
      <w:pPr>
        <w:spacing w:after="120" w:line="276" w:lineRule="auto"/>
      </w:pPr>
      <w:r>
        <w:rPr>
          <w:rFonts w:ascii="Arial" w:hAnsi="Arial"/>
          <w:color w:val="333333"/>
          <w:sz w:val="21"/>
        </w:rPr>
        <w:t>Le décalage entre la qualité du branding (8/10) et l’efficacité du tunnel marketing (4/10) est le problème central. Chaque visiteur qui arrive, admire, et repart sans laisser son email ou demander une dégustation est un lead perdu.</w:t>
      </w:r>
    </w:p>
    <w:p>
      <w:pPr>
        <w:spacing w:after="120" w:line="276" w:lineRule="auto"/>
      </w:pPr>
      <w:r>
        <w:rPr>
          <w:rFonts w:ascii="Arial" w:hAnsi="Arial"/>
          <w:color w:val="333333"/>
          <w:sz w:val="21"/>
        </w:rPr>
        <w:t>Les quick wins identifiés peuvent être implémentés en moins de deux semaines et devraient produire des résultats mesurables en 30 jours. L’ambition de devenir une référence mondiale est légitime. Le produit le mérite. Le site doit maintenant être à la hauteur de cette ambition — pas seulement en beauté, mais en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1A1714"/>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Georgia" w:hAnsi="Georgia"/>
      <w:b/>
      <w:bCs/>
      <w:color w:val="A8895C"/>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1A17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