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00"/>
        <w:jc w:val="center"/>
      </w:pPr>
      <w:r>
        <w:rPr>
          <w:rFonts w:ascii="Georgia" w:cs="Georgia" w:eastAsia="Georgia" w:hAnsi="Georgia"/>
          <w:color w:val="A8895C"/>
          <w:sz w:val="20"/>
          <w:szCs w:val="20"/>
        </w:rPr>
        <w:t xml:space="preserve">MAISON MIRAGE</w:t>
      </w:r>
    </w:p>
    <w:p>
      <w:pPr>
        <w:pBdr>
          <w:bottom w:val="single" w:color="A8895C" w:sz="2" w:space="12"/>
        </w:pBdr>
        <w:spacing w:after="300"/>
        <w:jc w:val="center"/>
      </w:pPr>
      <w:r>
        <w:rPr>
          <w:rFonts w:ascii="Arial" w:cs="Arial" w:eastAsia="Arial" w:hAnsi="Arial"/>
          <w:color w:val="6B6560"/>
          <w:sz w:val="18"/>
          <w:szCs w:val="18"/>
        </w:rPr>
        <w:t xml:space="preserve">lamaisonmirage.com</w:t>
      </w:r>
    </w:p>
    <w:p>
      <w:pPr>
        <w:spacing w:after="400" w:before="400"/>
      </w:pPr>
    </w:p>
    <w:p>
      <w:pPr>
        <w:spacing w:after="80"/>
        <w:jc w:val="center"/>
      </w:pPr>
      <w:r>
        <w:rPr>
          <w:rFonts w:ascii="Georgia" w:cs="Georgia" w:eastAsia="Georgia" w:hAnsi="Georgia"/>
          <w:b/>
          <w:bCs/>
          <w:color w:val="1A1714"/>
          <w:sz w:val="52"/>
          <w:szCs w:val="52"/>
        </w:rPr>
        <w:t xml:space="preserve">AUDIT 360°</w:t>
      </w:r>
    </w:p>
    <w:p>
      <w:pPr>
        <w:spacing w:after="80"/>
        <w:jc w:val="center"/>
      </w:pPr>
      <w:r>
        <w:rPr>
          <w:rFonts w:ascii="Arial" w:cs="Arial" w:eastAsia="Arial" w:hAnsi="Arial"/>
          <w:color w:val="A8895C"/>
          <w:sz w:val="22"/>
          <w:szCs w:val="22"/>
        </w:rPr>
        <w:t xml:space="preserve">Design System · UX/UI · Marketing · CRO</w:t>
      </w:r>
    </w:p>
    <w:p>
      <w:pPr>
        <w:spacing w:after="200" w:before="200"/>
      </w:pPr>
    </w:p>
    <w:p>
      <w:pPr>
        <w:spacing w:after="60"/>
        <w:jc w:val="center"/>
      </w:pPr>
      <w:r>
        <w:rPr>
          <w:rFonts w:ascii="Georgia" w:cs="Georgia" w:eastAsia="Georgia" w:hAnsi="Georgia"/>
          <w:i/>
          <w:iCs/>
          <w:color w:val="6B6560"/>
          <w:sz w:val="26"/>
          <w:szCs w:val="26"/>
        </w:rPr>
        <w:t xml:space="preserve">Rapport critique et stratégique</w:t>
      </w:r>
    </w:p>
    <w:p>
      <w:pPr>
        <w:jc w:val="center"/>
      </w:pPr>
      <w:r>
        <w:rPr>
          <w:rFonts w:ascii="Arial" w:cs="Arial" w:eastAsia="Arial" w:hAnsi="Arial"/>
          <w:color w:val="6B6560"/>
          <w:sz w:val="18"/>
          <w:szCs w:val="18"/>
        </w:rPr>
        <w:t xml:space="preserve">Pour transformer ce site en référence mondiale de la haute pâtisserie digitale</w:t>
      </w:r>
    </w:p>
    <w:p>
      <w:pPr>
        <w:spacing w:after="800" w:before="800"/>
      </w:pPr>
    </w:p>
    <w:p>
      <w:pPr>
        <w:spacing w:after="40"/>
        <w:jc w:val="center"/>
      </w:pPr>
      <w:r>
        <w:rPr>
          <w:rFonts w:ascii="Arial" w:cs="Arial" w:eastAsia="Arial" w:hAnsi="Arial"/>
          <w:color w:val="6B6560"/>
          <w:sz w:val="18"/>
          <w:szCs w:val="18"/>
        </w:rPr>
        <w:t xml:space="preserve">Mars 2026</w:t>
      </w:r>
    </w:p>
    <w:p>
      <w:pPr>
        <w:jc w:val="center"/>
      </w:pPr>
      <w:r>
        <w:rPr>
          <w:rFonts w:ascii="Arial" w:cs="Arial" w:eastAsia="Arial" w:hAnsi="Arial"/>
          <w:color w:val="6B6560"/>
          <w:sz w:val="16"/>
          <w:szCs w:val="16"/>
        </w:rPr>
        <w:t xml:space="preserve">V5.0 — Audit approfondi post-développement</w:t>
      </w:r>
    </w:p>
    <w:p>
      <w:pPr>
        <w:sectPr>
          <w:pgSz w:w="12240" w:h="15840" w:orient="portrait"/>
          <w:pgMar w:top="1440" w:right="1440" w:bottom="1440" w:left="1440" w:header="708" w:footer="708" w:gutter="0"/>
          <w:pgNumType/>
          <w:docGrid w:linePitch="360"/>
        </w:sectPr>
      </w:pPr>
    </w:p>
    <w:p>
      <w:pPr>
        <w:pBdr>
          <w:bottom w:val="single" w:color="A8895C" w:sz="2" w:space="6"/>
        </w:pBdr>
        <w:spacing w:after="200"/>
      </w:pPr>
      <w:r>
        <w:rPr>
          <w:rFonts w:ascii="Georgia" w:cs="Georgia" w:eastAsia="Georgia" w:hAnsi="Georgia"/>
          <w:b/>
          <w:bCs/>
          <w:color w:val="1A1714"/>
          <w:sz w:val="28"/>
          <w:szCs w:val="28"/>
        </w:rPr>
        <w:t xml:space="preserve">SOMMAIRE EXÉCUTIF</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2"/>
              <w:left w:val="none"/>
              <w:bottom w:val="single" w:color="A8895C" w:sz="2"/>
              <w:right w:val="none"/>
            </w:tcBorders>
            <w:shd w:fill="FAF5EF" w:val="clear"/>
            <w:tcMar>
              <w:top w:type="dxa" w:w="200"/>
              <w:left w:type="dxa" w:w="300"/>
              <w:bottom w:type="dxa" w:w="200"/>
              <w:right w:type="dxa" w:w="300"/>
            </w:tcMar>
          </w:tcPr>
          <w:p>
            <w:pPr>
              <w:spacing w:after="80"/>
              <w:jc w:val="center"/>
            </w:pPr>
            <w:r>
              <w:rPr>
                <w:rFonts w:ascii="Georgia" w:cs="Georgia" w:eastAsia="Georgia" w:hAnsi="Georgia"/>
                <w:color w:val="A8895C"/>
                <w:sz w:val="14"/>
                <w:szCs w:val="14"/>
              </w:rPr>
              <w:t xml:space="preserve">SCORE GLOBAL</w:t>
            </w:r>
          </w:p>
          <w:p>
            <w:pPr>
              <w:spacing w:after="80"/>
              <w:jc w:val="center"/>
            </w:pPr>
            <w:r>
              <w:rPr>
                <w:rFonts w:ascii="Georgia" w:cs="Georgia" w:eastAsia="Georgia" w:hAnsi="Georgia"/>
                <w:b/>
                <w:bCs/>
                <w:color w:val="1A1714"/>
                <w:sz w:val="56"/>
                <w:szCs w:val="56"/>
              </w:rPr>
              <w:t xml:space="preserve">72</w:t>
            </w:r>
            <w:r>
              <w:rPr>
                <w:rFonts w:ascii="Georgia" w:cs="Georgia" w:eastAsia="Georgia" w:hAnsi="Georgia"/>
                <w:color w:val="6B6560"/>
                <w:sz w:val="32"/>
                <w:szCs w:val="32"/>
              </w:rPr>
              <w:t xml:space="preserve"> / 100</w:t>
            </w:r>
          </w:p>
          <w:p>
            <w:pPr>
              <w:jc w:val="center"/>
            </w:pPr>
            <w:r>
              <w:rPr>
                <w:rFonts w:ascii="Arial" w:cs="Arial" w:eastAsia="Arial" w:hAnsi="Arial"/>
                <w:color w:val="6B6560"/>
                <w:sz w:val="18"/>
                <w:szCs w:val="18"/>
              </w:rPr>
              <w:t xml:space="preserve">Excellent socle technique et esthétique. Marge de progression majeure sur le marketing de conversion et la preuve sociale.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D9D0C7" w:sz="1"/>
              <w:left w:val="single" w:color="D9D0C7" w:sz="1"/>
              <w:bottom w:val="single" w:color="D9D0C7" w:sz="1"/>
              <w:right w:val="single" w:color="D9D0C7" w:sz="1"/>
            </w:tcBorders>
            <w:shd w:fill="1A1714" w:val="clear"/>
            <w:tcMar>
              <w:top w:type="dxa" w:w="80"/>
              <w:left w:type="dxa" w:w="120"/>
              <w:bottom w:type="dxa" w:w="80"/>
              <w:right w:type="dxa" w:w="120"/>
            </w:tcMar>
          </w:tcPr>
          <w:p>
            <w:pPr>
              <w:jc w:val="left"/>
            </w:pPr>
            <w:r>
              <w:rPr>
                <w:rFonts w:ascii="Arial" w:cs="Arial" w:eastAsia="Arial" w:hAnsi="Arial"/>
                <w:b/>
                <w:bCs/>
                <w:color w:val="FFFFFF"/>
                <w:sz w:val="16"/>
                <w:szCs w:val="16"/>
              </w:rPr>
              <w:t xml:space="preserve">Critère</w:t>
            </w:r>
          </w:p>
        </w:tc>
        <w:tc>
          <w:tcPr>
            <w:tcW w:type="dxa" w:w="2180"/>
            <w:tcBorders>
              <w:top w:val="single" w:color="D9D0C7" w:sz="1"/>
              <w:left w:val="single" w:color="D9D0C7" w:sz="1"/>
              <w:bottom w:val="single" w:color="D9D0C7" w:sz="1"/>
              <w:right w:val="single" w:color="D9D0C7"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Score</w:t>
            </w:r>
          </w:p>
        </w:tc>
        <w:tc>
          <w:tcPr>
            <w:tcW w:type="dxa" w:w="2180"/>
            <w:tcBorders>
              <w:top w:val="single" w:color="D9D0C7" w:sz="1"/>
              <w:left w:val="single" w:color="D9D0C7" w:sz="1"/>
              <w:bottom w:val="single" w:color="D9D0C7" w:sz="1"/>
              <w:right w:val="single" w:color="D9D0C7"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Statut</w:t>
            </w:r>
          </w:p>
        </w:tc>
      </w:tr>
      <w:tr>
        <w:tc>
          <w:tcPr>
            <w:tcW w:type="dxa" w:w="5000"/>
            <w:tcBorders>
              <w:top w:val="single" w:color="D9D0C7" w:sz="1"/>
              <w:left w:val="single" w:color="D9D0C7" w:sz="1"/>
              <w:bottom w:val="single" w:color="D9D0C7" w:sz="1"/>
              <w:right w:val="single" w:color="D9D0C7" w:sz="1"/>
            </w:tcBorders>
            <w:shd w:fill="FAF5EF" w:val="clear"/>
            <w:tcMar>
              <w:top w:type="dxa" w:w="60"/>
              <w:left w:type="dxa" w:w="120"/>
              <w:bottom w:type="dxa" w:w="60"/>
              <w:right w:type="dxa" w:w="120"/>
            </w:tcMar>
          </w:tcPr>
          <w:p>
            <w:r>
              <w:rPr>
                <w:rFonts w:ascii="Arial" w:cs="Arial" w:eastAsia="Arial" w:hAnsi="Arial"/>
                <w:color w:val="1A1714"/>
                <w:sz w:val="18"/>
                <w:szCs w:val="18"/>
              </w:rPr>
              <w:t xml:space="preserve">Proposition de Valeur</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Georgia" w:cs="Georgia" w:eastAsia="Georgia" w:hAnsi="Georgia"/>
                <w:b/>
                <w:bCs/>
                <w:color w:val="4A7C59"/>
                <w:sz w:val="20"/>
                <w:szCs w:val="20"/>
              </w:rPr>
              <w:t xml:space="preserve">8 / 10</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Arial" w:cs="Arial" w:eastAsia="Arial" w:hAnsi="Arial"/>
                <w:color w:val="6B6560"/>
                <w:sz w:val="16"/>
                <w:szCs w:val="16"/>
              </w:rPr>
              <w:t xml:space="preserve">Bon</w:t>
            </w:r>
          </w:p>
        </w:tc>
      </w:tr>
      <w:tr>
        <w:tc>
          <w:tcPr>
            <w:tcW w:type="dxa" w:w="5000"/>
            <w:tcBorders>
              <w:top w:val="single" w:color="D9D0C7" w:sz="1"/>
              <w:left w:val="single" w:color="D9D0C7" w:sz="1"/>
              <w:bottom w:val="single" w:color="D9D0C7" w:sz="1"/>
              <w:right w:val="single" w:color="D9D0C7" w:sz="1"/>
            </w:tcBorders>
            <w:shd w:fill="FAF5EF" w:val="clear"/>
            <w:tcMar>
              <w:top w:type="dxa" w:w="60"/>
              <w:left w:type="dxa" w:w="120"/>
              <w:bottom w:type="dxa" w:w="60"/>
              <w:right w:type="dxa" w:w="120"/>
            </w:tcMar>
          </w:tcPr>
          <w:p>
            <w:r>
              <w:rPr>
                <w:rFonts w:ascii="Arial" w:cs="Arial" w:eastAsia="Arial" w:hAnsi="Arial"/>
                <w:color w:val="1A1714"/>
                <w:sz w:val="18"/>
                <w:szCs w:val="18"/>
              </w:rPr>
              <w:t xml:space="preserve">UX &amp; Ergonomie (Parcours utilisateur)</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Georgia" w:cs="Georgia" w:eastAsia="Georgia" w:hAnsi="Georgia"/>
                <w:b/>
                <w:bCs/>
                <w:color w:val="4A7C59"/>
                <w:sz w:val="20"/>
                <w:szCs w:val="20"/>
              </w:rPr>
              <w:t xml:space="preserve">7.5 / 10</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Arial" w:cs="Arial" w:eastAsia="Arial" w:hAnsi="Arial"/>
                <w:color w:val="6B6560"/>
                <w:sz w:val="16"/>
                <w:szCs w:val="16"/>
              </w:rPr>
              <w:t xml:space="preserve">Bon</w:t>
            </w:r>
          </w:p>
        </w:tc>
      </w:tr>
      <w:tr>
        <w:tc>
          <w:tcPr>
            <w:tcW w:type="dxa" w:w="5000"/>
            <w:tcBorders>
              <w:top w:val="single" w:color="D9D0C7" w:sz="1"/>
              <w:left w:val="single" w:color="D9D0C7" w:sz="1"/>
              <w:bottom w:val="single" w:color="D9D0C7" w:sz="1"/>
              <w:right w:val="single" w:color="D9D0C7" w:sz="1"/>
            </w:tcBorders>
            <w:shd w:fill="FAF5EF" w:val="clear"/>
            <w:tcMar>
              <w:top w:type="dxa" w:w="60"/>
              <w:left w:type="dxa" w:w="120"/>
              <w:bottom w:type="dxa" w:w="60"/>
              <w:right w:type="dxa" w:w="120"/>
            </w:tcMar>
          </w:tcPr>
          <w:p>
            <w:r>
              <w:rPr>
                <w:rFonts w:ascii="Arial" w:cs="Arial" w:eastAsia="Arial" w:hAnsi="Arial"/>
                <w:color w:val="1A1714"/>
                <w:sz w:val="18"/>
                <w:szCs w:val="18"/>
              </w:rPr>
              <w:t xml:space="preserve">UI &amp; Branding (Design System)</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Georgia" w:cs="Georgia" w:eastAsia="Georgia" w:hAnsi="Georgia"/>
                <w:b/>
                <w:bCs/>
                <w:color w:val="4A7C59"/>
                <w:sz w:val="20"/>
                <w:szCs w:val="20"/>
              </w:rPr>
              <w:t xml:space="preserve">8.5 / 10</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Arial" w:cs="Arial" w:eastAsia="Arial" w:hAnsi="Arial"/>
                <w:color w:val="6B6560"/>
                <w:sz w:val="16"/>
                <w:szCs w:val="16"/>
              </w:rPr>
              <w:t xml:space="preserve">Bon</w:t>
            </w:r>
          </w:p>
        </w:tc>
      </w:tr>
      <w:tr>
        <w:tc>
          <w:tcPr>
            <w:tcW w:type="dxa" w:w="5000"/>
            <w:tcBorders>
              <w:top w:val="single" w:color="D9D0C7" w:sz="1"/>
              <w:left w:val="single" w:color="D9D0C7" w:sz="1"/>
              <w:bottom w:val="single" w:color="D9D0C7" w:sz="1"/>
              <w:right w:val="single" w:color="D9D0C7" w:sz="1"/>
            </w:tcBorders>
            <w:shd w:fill="FAF5EF" w:val="clear"/>
            <w:tcMar>
              <w:top w:type="dxa" w:w="60"/>
              <w:left w:type="dxa" w:w="120"/>
              <w:bottom w:type="dxa" w:w="60"/>
              <w:right w:type="dxa" w:w="120"/>
            </w:tcMar>
          </w:tcPr>
          <w:p>
            <w:r>
              <w:rPr>
                <w:rFonts w:ascii="Arial" w:cs="Arial" w:eastAsia="Arial" w:hAnsi="Arial"/>
                <w:color w:val="1A1714"/>
                <w:sz w:val="18"/>
                <w:szCs w:val="18"/>
              </w:rPr>
              <w:t xml:space="preserve">Marketing &amp; Psychologie (CRO)</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Georgia" w:cs="Georgia" w:eastAsia="Georgia" w:hAnsi="Georgia"/>
                <w:b/>
                <w:bCs/>
                <w:color w:val="A8895C"/>
                <w:sz w:val="20"/>
                <w:szCs w:val="20"/>
              </w:rPr>
              <w:t xml:space="preserve">6 / 10</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Arial" w:cs="Arial" w:eastAsia="Arial" w:hAnsi="Arial"/>
                <w:color w:val="6B6560"/>
                <w:sz w:val="16"/>
                <w:szCs w:val="16"/>
              </w:rPr>
              <w:t xml:space="preserve">Moyen</w:t>
            </w:r>
          </w:p>
        </w:tc>
      </w:tr>
      <w:tr>
        <w:tc>
          <w:tcPr>
            <w:tcW w:type="dxa" w:w="5000"/>
            <w:tcBorders>
              <w:top w:val="single" w:color="D9D0C7" w:sz="1"/>
              <w:left w:val="single" w:color="D9D0C7" w:sz="1"/>
              <w:bottom w:val="single" w:color="D9D0C7" w:sz="1"/>
              <w:right w:val="single" w:color="D9D0C7" w:sz="1"/>
            </w:tcBorders>
            <w:shd w:fill="FAF5EF" w:val="clear"/>
            <w:tcMar>
              <w:top w:type="dxa" w:w="60"/>
              <w:left w:type="dxa" w:w="120"/>
              <w:bottom w:type="dxa" w:w="60"/>
              <w:right w:type="dxa" w:w="120"/>
            </w:tcMar>
          </w:tcPr>
          <w:p>
            <w:r>
              <w:rPr>
                <w:rFonts w:ascii="Arial" w:cs="Arial" w:eastAsia="Arial" w:hAnsi="Arial"/>
                <w:color w:val="1A1714"/>
                <w:sz w:val="18"/>
                <w:szCs w:val="18"/>
              </w:rPr>
              <w:t xml:space="preserve">Technique &amp; Performance Mobile</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Georgia" w:cs="Georgia" w:eastAsia="Georgia" w:hAnsi="Georgia"/>
                <w:b/>
                <w:bCs/>
                <w:color w:val="4A7C59"/>
                <w:sz w:val="20"/>
                <w:szCs w:val="20"/>
              </w:rPr>
              <w:t xml:space="preserve">7 / 10</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Arial" w:cs="Arial" w:eastAsia="Arial" w:hAnsi="Arial"/>
                <w:color w:val="6B6560"/>
                <w:sz w:val="16"/>
                <w:szCs w:val="16"/>
              </w:rPr>
              <w:t xml:space="preserve">Bon</w:t>
            </w:r>
          </w:p>
        </w:tc>
      </w:tr>
      <w:tr>
        <w:tc>
          <w:tcPr>
            <w:tcW w:type="dxa" w:w="5000"/>
            <w:tcBorders>
              <w:top w:val="single" w:color="D9D0C7" w:sz="1"/>
              <w:left w:val="single" w:color="D9D0C7" w:sz="1"/>
              <w:bottom w:val="single" w:color="D9D0C7" w:sz="1"/>
              <w:right w:val="single" w:color="D9D0C7" w:sz="1"/>
            </w:tcBorders>
            <w:shd w:fill="FAF5EF" w:val="clear"/>
            <w:tcMar>
              <w:top w:type="dxa" w:w="60"/>
              <w:left w:type="dxa" w:w="120"/>
              <w:bottom w:type="dxa" w:w="60"/>
              <w:right w:type="dxa" w:w="120"/>
            </w:tcMar>
          </w:tcPr>
          <w:p>
            <w:r>
              <w:rPr>
                <w:rFonts w:ascii="Arial" w:cs="Arial" w:eastAsia="Arial" w:hAnsi="Arial"/>
                <w:color w:val="1A1714"/>
                <w:sz w:val="18"/>
                <w:szCs w:val="18"/>
              </w:rPr>
              <w:t xml:space="preserve">SEO &amp; Contenu</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Georgia" w:cs="Georgia" w:eastAsia="Georgia" w:hAnsi="Georgia"/>
                <w:b/>
                <w:bCs/>
                <w:color w:val="A8895C"/>
                <w:sz w:val="20"/>
                <w:szCs w:val="20"/>
              </w:rPr>
              <w:t xml:space="preserve">6.5 / 10</w:t>
            </w:r>
          </w:p>
        </w:tc>
        <w:tc>
          <w:tcPr>
            <w:tcW w:type="dxa" w:w="2180"/>
            <w:tcBorders>
              <w:top w:val="single" w:color="D9D0C7" w:sz="1"/>
              <w:left w:val="single" w:color="D9D0C7" w:sz="1"/>
              <w:bottom w:val="single" w:color="D9D0C7" w:sz="1"/>
              <w:right w:val="single" w:color="D9D0C7" w:sz="1"/>
            </w:tcBorders>
            <w:shd w:fill="FFFFFF" w:val="clear"/>
            <w:tcMar>
              <w:top w:type="dxa" w:w="60"/>
              <w:left w:type="dxa" w:w="120"/>
              <w:bottom w:type="dxa" w:w="60"/>
              <w:right w:type="dxa" w:w="120"/>
            </w:tcMar>
          </w:tcPr>
          <w:p>
            <w:pPr>
              <w:jc w:val="center"/>
            </w:pPr>
            <w:r>
              <w:rPr>
                <w:rFonts w:ascii="Arial" w:cs="Arial" w:eastAsia="Arial" w:hAnsi="Arial"/>
                <w:color w:val="6B6560"/>
                <w:sz w:val="16"/>
                <w:szCs w:val="16"/>
              </w:rPr>
              <w:t xml:space="preserve">Moyen</w:t>
            </w:r>
          </w:p>
        </w:tc>
      </w:tr>
    </w:tbl>
    <w:p>
      <w:pPr>
        <w:spacing w:after="200" w:before="200"/>
      </w:pPr>
    </w:p>
    <w:p>
      <w:pPr>
        <w:spacing w:after="60" w:before="60"/>
      </w:pPr>
      <w:r>
        <w:rPr>
          <w:rFonts w:ascii="Arial" w:cs="Arial" w:eastAsia="Arial" w:hAnsi="Arial"/>
          <w:color w:val="1A1714"/>
          <w:sz w:val="20"/>
          <w:szCs w:val="20"/>
        </w:rPr>
        <w:t xml:space="preserve">Ce rapport est rédigé sans complaisance, avec l’objectif de transformer lamaisonmirage.com en vitrine digitale de référence mondiale pour la haute pâtisserie trompe-l’œil. Les recommandations sont classées par impact business et facilité d’implémentation.</w:t>
      </w:r>
    </w:p>
    <w:p>
      <w:r>
        <w:br w:type="page"/>
      </w:r>
    </w:p>
    <w:p>
      <w:pPr>
        <w:pBdr>
          <w:bottom w:val="single" w:color="A8895C" w:sz="2" w:space="6"/>
        </w:pBdr>
        <w:spacing w:after="200" w:before="400"/>
      </w:pPr>
      <w:r>
        <w:rPr>
          <w:rFonts w:ascii="Georgia" w:cs="Georgia" w:eastAsia="Georgia" w:hAnsi="Georgia"/>
          <w:b/>
          <w:bCs/>
          <w:color w:val="A8895C"/>
          <w:sz w:val="28"/>
          <w:szCs w:val="28"/>
        </w:rPr>
        <w:t xml:space="preserve">1. </w:t>
      </w:r>
      <w:r>
        <w:rPr>
          <w:rFonts w:ascii="Georgia" w:cs="Georgia" w:eastAsia="Georgia" w:hAnsi="Georgia"/>
          <w:b/>
          <w:bCs/>
          <w:color w:val="1A1714"/>
          <w:sz w:val="28"/>
          <w:szCs w:val="28"/>
        </w:rPr>
        <w:t xml:space="preserve">PROPOSITION DE VALEUR</w:t>
      </w:r>
    </w:p>
    <w:p>
      <w:pPr>
        <w:spacing w:after="200" w:before="100"/>
      </w:pPr>
      <w:r>
        <w:rPr>
          <w:rFonts w:ascii="Arial" w:cs="Arial" w:eastAsia="Arial" w:hAnsi="Arial"/>
          <w:b/>
          <w:bCs/>
          <w:color w:val="1A1714"/>
          <w:sz w:val="20"/>
          <w:szCs w:val="20"/>
        </w:rPr>
        <w:t xml:space="preserve">Question clé : </w:t>
      </w:r>
      <w:r>
        <w:rPr>
          <w:rFonts w:ascii="Arial" w:cs="Arial" w:eastAsia="Arial" w:hAnsi="Arial"/>
          <w:i/>
          <w:iCs/>
          <w:color w:val="6B6560"/>
          <w:sz w:val="20"/>
          <w:szCs w:val="20"/>
        </w:rPr>
        <w:t xml:space="preserve">La promesse est-elle claire en moins de 3 secondes ? Le « Mirage » est-il communiqué visuellement et textuellement ?</w:t>
      </w:r>
    </w:p>
    <w:p>
      <w:pPr>
        <w:spacing w:after="120" w:before="280"/>
      </w:pPr>
      <w:r>
        <w:rPr>
          <w:rFonts w:ascii="Georgia" w:cs="Georgia" w:eastAsia="Georgia" w:hAnsi="Georgia"/>
          <w:b/>
          <w:bCs/>
          <w:i/>
          <w:iCs/>
          <w:color w:val="1A1714"/>
          <w:sz w:val="22"/>
          <w:szCs w:val="22"/>
        </w:rPr>
        <w:t xml:space="preserve">Ce qui fonctionne</w:t>
      </w:r>
    </w:p>
    <w:p>
      <w:pPr>
        <w:pStyle w:val="ListParagraph"/>
        <w:numPr>
          <w:ilvl w:val="0"/>
          <w:numId w:val="2"/>
        </w:numPr>
        <w:spacing w:after="40" w:before="40"/>
      </w:pPr>
      <w:r>
        <w:rPr>
          <w:rFonts w:ascii="Arial" w:cs="Arial" w:eastAsia="Arial" w:hAnsi="Arial"/>
          <w:color w:val="1A1714"/>
          <w:sz w:val="20"/>
          <w:szCs w:val="20"/>
        </w:rPr>
        <w:t xml:space="preserve">Le headline « L’Art de l’Illusion » est puissant, mémorable et aligné avec le positionnement. Il crée une promesse émotionnelle en 4 mots.</w:t>
      </w:r>
    </w:p>
    <w:p>
      <w:pPr>
        <w:pStyle w:val="ListParagraph"/>
        <w:numPr>
          <w:ilvl w:val="0"/>
          <w:numId w:val="2"/>
        </w:numPr>
        <w:spacing w:after="40" w:before="40"/>
      </w:pPr>
      <w:r>
        <w:rPr>
          <w:rFonts w:ascii="Arial" w:cs="Arial" w:eastAsia="Arial" w:hAnsi="Arial"/>
          <w:color w:val="1A1714"/>
          <w:sz w:val="20"/>
          <w:szCs w:val="20"/>
        </w:rPr>
        <w:t xml:space="preserve">La sous-accroche « Le dessert que vos clients filment avant de manger » est un hook B2B brillant : elle traduit immédiatement la valeur business (viralité organique, UGC).</w:t>
      </w:r>
    </w:p>
    <w:p>
      <w:pPr>
        <w:pStyle w:val="ListParagraph"/>
        <w:numPr>
          <w:ilvl w:val="0"/>
          <w:numId w:val="2"/>
        </w:numPr>
        <w:spacing w:after="40" w:before="40"/>
      </w:pPr>
      <w:r>
        <w:rPr>
          <w:rFonts w:ascii="Arial" w:cs="Arial" w:eastAsia="Arial" w:hAnsi="Arial"/>
          <w:color w:val="1A1714"/>
          <w:sz w:val="20"/>
          <w:szCs w:val="20"/>
        </w:rPr>
        <w:t xml:space="preserve">La vidéo hero en autoplay montrant la découpe d’un trompe-l’œil communique le concept « Mirage » de façon viscérale, sans besoin de lire.</w:t>
      </w:r>
    </w:p>
    <w:p>
      <w:pPr>
        <w:pStyle w:val="ListParagraph"/>
        <w:numPr>
          <w:ilvl w:val="0"/>
          <w:numId w:val="2"/>
        </w:numPr>
        <w:spacing w:after="40" w:before="40"/>
      </w:pPr>
      <w:r>
        <w:rPr>
          <w:rFonts w:ascii="Arial" w:cs="Arial" w:eastAsia="Arial" w:hAnsi="Arial"/>
          <w:color w:val="1A1714"/>
          <w:sz w:val="20"/>
          <w:szCs w:val="20"/>
        </w:rPr>
        <w:t xml:space="preserve">La barre de réassurance immédiate (24h / Dégustation gratuite / Dès 5€) réduit la charge cognitive.</w:t>
      </w:r>
    </w:p>
    <w:p>
      <w:pPr>
        <w:spacing w:after="120" w:before="280"/>
      </w:pPr>
      <w:r>
        <w:rPr>
          <w:rFonts w:ascii="Georgia" w:cs="Georgia" w:eastAsia="Georgia" w:hAnsi="Georgia"/>
          <w:b/>
          <w:bCs/>
          <w:i/>
          <w:iCs/>
          <w:color w:val="1A1714"/>
          <w:sz w:val="22"/>
          <w:szCs w:val="22"/>
        </w:rPr>
        <w:t xml:space="preserve">Points critiques</w:t>
      </w:r>
    </w:p>
    <w:p>
      <w:pPr>
        <w:pStyle w:val="ListParagraph"/>
        <w:numPr>
          <w:ilvl w:val="0"/>
          <w:numId w:val="2"/>
        </w:numPr>
        <w:spacing w:after="40" w:before="40"/>
      </w:pPr>
      <w:r>
        <w:rPr>
          <w:rFonts w:ascii="Arial" w:cs="Arial" w:eastAsia="Arial" w:hAnsi="Arial"/>
          <w:color w:val="1A1714"/>
          <w:sz w:val="20"/>
          <w:szCs w:val="20"/>
        </w:rPr>
        <w:t xml:space="preserve">PROBLÈME MAJEUR : Le mot « Mirage » n’est jamais exploité sémantiquement. Le nom de marque est un asset narratif sous-exploité. Il devrait être intégré dans le copywriting : « Chez nous, chaque dessert est un mirage — ce que vous voyez n’est jamais ce que vous goûtez. »</w:t>
      </w:r>
    </w:p>
    <w:p>
      <w:pPr>
        <w:pStyle w:val="ListParagraph"/>
        <w:numPr>
          <w:ilvl w:val="0"/>
          <w:numId w:val="2"/>
        </w:numPr>
        <w:spacing w:after="40" w:before="40"/>
      </w:pPr>
      <w:r>
        <w:rPr>
          <w:rFonts w:ascii="Arial" w:cs="Arial" w:eastAsia="Arial" w:hAnsi="Arial"/>
          <w:color w:val="1A1714"/>
          <w:sz w:val="20"/>
          <w:szCs w:val="20"/>
        </w:rPr>
        <w:t xml:space="preserve">L’eyebrow « Marseille · 15+ établissements partenaires » est une information froide placée au point d’attention maximal. Elle devrait être remplacée par un micro-récit émotionnel.</w:t>
      </w:r>
    </w:p>
    <w:p>
      <w:pPr>
        <w:pStyle w:val="ListParagraph"/>
        <w:numPr>
          <w:ilvl w:val="0"/>
          <w:numId w:val="2"/>
        </w:numPr>
        <w:spacing w:after="40" w:before="40"/>
      </w:pPr>
      <w:r>
        <w:rPr>
          <w:rFonts w:ascii="Arial" w:cs="Arial" w:eastAsia="Arial" w:hAnsi="Arial"/>
          <w:color w:val="1A1714"/>
          <w:sz w:val="20"/>
          <w:szCs w:val="20"/>
        </w:rPr>
        <w:t xml:space="preserve">La description longue sous le hook (40+ mots) crée un wall of text qui dilue l’impact du hero. En CRO, chaque mot supplémentaire dans le hero réduit le taux de lecture de ~8%.</w:t>
      </w:r>
    </w:p>
    <w:p>
      <w:pPr>
        <w:pStyle w:val="ListParagraph"/>
        <w:numPr>
          <w:ilvl w:val="0"/>
          <w:numId w:val="2"/>
        </w:numPr>
        <w:spacing w:after="40" w:before="40"/>
      </w:pPr>
      <w:r>
        <w:rPr>
          <w:rFonts w:ascii="Arial" w:cs="Arial" w:eastAsia="Arial" w:hAnsi="Arial"/>
          <w:color w:val="1A1714"/>
          <w:sz w:val="20"/>
          <w:szCs w:val="20"/>
        </w:rPr>
        <w:t xml:space="preserve">Absence d’un « category descriptor » clair. Un visiteur froid ne sait pas immédiatement que ce sont des pâtisseries. Le concept trompe-l’œil doit être clarifié plus tôt.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1"/>
              <w:left w:val="single" w:color="A8895C" w:sz="6"/>
              <w:bottom w:val="single" w:color="A8895C" w:sz="1"/>
              <w:right w:val="single" w:color="A8895C" w:sz="1"/>
            </w:tcBorders>
            <w:shd w:fill="FFFFFF" w:val="clear"/>
            <w:tcMar>
              <w:top w:type="dxa" w:w="100"/>
              <w:left w:type="dxa" w:w="200"/>
              <w:bottom w:type="dxa" w:w="100"/>
              <w:right w:type="dxa" w:w="200"/>
            </w:tcMar>
          </w:tcPr>
          <w:p>
            <w:r>
              <w:rPr>
                <w:rFonts w:ascii="Arial" w:cs="Arial" w:eastAsia="Arial" w:hAnsi="Arial"/>
                <w:b/>
                <w:bCs/>
                <w:color w:val="A8895C"/>
                <w:sz w:val="18"/>
                <w:szCs w:val="18"/>
              </w:rPr>
              <w:t xml:space="preserve">VERDICT : </w:t>
            </w:r>
            <w:r>
              <w:rPr>
                <w:rFonts w:ascii="Arial" w:cs="Arial" w:eastAsia="Arial" w:hAnsi="Arial"/>
                <w:color w:val="1A1714"/>
                <w:sz w:val="18"/>
                <w:szCs w:val="18"/>
              </w:rPr>
              <w:t xml:space="preserve">8/10 — Promesse forte et originale, mais le capital narratif du mot « Mirage » est gaspillé. Le hero est verbeux pour un site B2B où le temps d’attention moyen est de 2,7 secondes.</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2. </w:t>
      </w:r>
      <w:r>
        <w:rPr>
          <w:rFonts w:ascii="Georgia" w:cs="Georgia" w:eastAsia="Georgia" w:hAnsi="Georgia"/>
          <w:b/>
          <w:bCs/>
          <w:color w:val="1A1714"/>
          <w:sz w:val="28"/>
          <w:szCs w:val="28"/>
        </w:rPr>
        <w:t xml:space="preserve">AUDIT UX &amp; ERGONOMIE</w:t>
      </w:r>
    </w:p>
    <w:p>
      <w:pPr>
        <w:spacing w:after="200" w:before="100"/>
      </w:pPr>
      <w:r>
        <w:rPr>
          <w:rFonts w:ascii="Arial" w:cs="Arial" w:eastAsia="Arial" w:hAnsi="Arial"/>
          <w:i/>
          <w:iCs/>
          <w:color w:val="6B6560"/>
          <w:sz w:val="20"/>
          <w:szCs w:val="20"/>
        </w:rPr>
        <w:t xml:space="preserve">Analyse du parcours utilisateur (User Journey), points de friction et efficacité des CTA.</w:t>
      </w:r>
    </w:p>
    <w:p>
      <w:pPr>
        <w:spacing w:after="120" w:before="280"/>
      </w:pPr>
      <w:r>
        <w:rPr>
          <w:rFonts w:ascii="Georgia" w:cs="Georgia" w:eastAsia="Georgia" w:hAnsi="Georgia"/>
          <w:b/>
          <w:bCs/>
          <w:i/>
          <w:iCs/>
          <w:color w:val="1A1714"/>
          <w:sz w:val="22"/>
          <w:szCs w:val="22"/>
        </w:rPr>
        <w:t xml:space="preserve">Architecture de l’information</w:t>
      </w:r>
    </w:p>
    <w:p>
      <w:pPr>
        <w:spacing w:after="60" w:before="60"/>
      </w:pPr>
      <w:r>
        <w:rPr>
          <w:rFonts w:ascii="Arial" w:cs="Arial" w:eastAsia="Arial" w:hAnsi="Arial"/>
          <w:color w:val="1A1714"/>
          <w:sz w:val="20"/>
          <w:szCs w:val="20"/>
        </w:rPr>
        <w:t xml:space="preserve">Le parcours suit un funnel psychologique cohérent : Promesse → Preuve (vidéo) → Validation sociale (témoignages) → Catalogue → Tarifs → Garanties → Conversion. C’est un modèle AIDA (Attention, Intérêt, Désir, Action) correctement implémenté.</w:t>
      </w:r>
    </w:p>
    <w:p>
      <w:pPr>
        <w:spacing w:after="120" w:before="280"/>
      </w:pPr>
      <w:r>
        <w:rPr>
          <w:rFonts w:ascii="Georgia" w:cs="Georgia" w:eastAsia="Georgia" w:hAnsi="Georgia"/>
          <w:b/>
          <w:bCs/>
          <w:i/>
          <w:iCs/>
          <w:color w:val="1A1714"/>
          <w:sz w:val="22"/>
          <w:szCs w:val="22"/>
        </w:rPr>
        <w:t xml:space="preserve">Points forts UX</w:t>
      </w:r>
    </w:p>
    <w:p>
      <w:pPr>
        <w:pStyle w:val="ListParagraph"/>
        <w:numPr>
          <w:ilvl w:val="0"/>
          <w:numId w:val="2"/>
        </w:numPr>
        <w:spacing w:after="40" w:before="40"/>
      </w:pPr>
      <w:r>
        <w:rPr>
          <w:rFonts w:ascii="Arial" w:cs="Arial" w:eastAsia="Arial" w:hAnsi="Arial"/>
          <w:color w:val="1A1714"/>
          <w:sz w:val="20"/>
          <w:szCs w:val="20"/>
        </w:rPr>
        <w:t xml:space="preserve">La sticky CTA bar avec réassurance est un pattern CRO éprouvé, bien implémenté avec ScrollTrigger pour apparaître après le hero.</w:t>
      </w:r>
    </w:p>
    <w:p>
      <w:pPr>
        <w:pStyle w:val="ListParagraph"/>
        <w:numPr>
          <w:ilvl w:val="0"/>
          <w:numId w:val="2"/>
        </w:numPr>
        <w:spacing w:after="40" w:before="40"/>
      </w:pPr>
      <w:r>
        <w:rPr>
          <w:rFonts w:ascii="Arial" w:cs="Arial" w:eastAsia="Arial" w:hAnsi="Arial"/>
          <w:color w:val="1A1714"/>
          <w:sz w:val="20"/>
          <w:szCs w:val="20"/>
        </w:rPr>
        <w:t xml:space="preserve">Le système de filtres par catégorie (Fruits / Chocolat / Signatures) respecte le modèle mental des acheteurs B2B.</w:t>
      </w:r>
    </w:p>
    <w:p>
      <w:pPr>
        <w:pStyle w:val="ListParagraph"/>
        <w:numPr>
          <w:ilvl w:val="0"/>
          <w:numId w:val="2"/>
        </w:numPr>
        <w:spacing w:after="40" w:before="40"/>
      </w:pPr>
      <w:r>
        <w:rPr>
          <w:rFonts w:ascii="Arial" w:cs="Arial" w:eastAsia="Arial" w:hAnsi="Arial"/>
          <w:color w:val="1A1714"/>
          <w:sz w:val="20"/>
          <w:szCs w:val="20"/>
        </w:rPr>
        <w:t xml:space="preserve">La modal produit avec toggle « Vue / Texture » et allergènes répond aux besoins spécifiques des restaurateurs.</w:t>
      </w:r>
    </w:p>
    <w:p>
      <w:pPr>
        <w:pStyle w:val="ListParagraph"/>
        <w:numPr>
          <w:ilvl w:val="0"/>
          <w:numId w:val="2"/>
        </w:numPr>
        <w:spacing w:after="40" w:before="40"/>
      </w:pPr>
      <w:r>
        <w:rPr>
          <w:rFonts w:ascii="Arial" w:cs="Arial" w:eastAsia="Arial" w:hAnsi="Arial"/>
          <w:color w:val="1A1714"/>
          <w:sz w:val="20"/>
          <w:szCs w:val="20"/>
        </w:rPr>
        <w:t xml:space="preserve">Le chatbot B2B hybride avec quick-replies est intelligent : il pré-qualifie les leads avant escalade humaine.</w:t>
      </w:r>
    </w:p>
    <w:p>
      <w:pPr>
        <w:pStyle w:val="ListParagraph"/>
        <w:numPr>
          <w:ilvl w:val="0"/>
          <w:numId w:val="2"/>
        </w:numPr>
        <w:spacing w:after="40" w:before="40"/>
      </w:pPr>
      <w:r>
        <w:rPr>
          <w:rFonts w:ascii="Arial" w:cs="Arial" w:eastAsia="Arial" w:hAnsi="Arial"/>
          <w:color w:val="1A1714"/>
          <w:sz w:val="20"/>
          <w:szCs w:val="20"/>
        </w:rPr>
        <w:t xml:space="preserve">L’accessibilité est prise au sérieux : aria-controls, aria-expanded, focus trap mobile, prefers-reduced-motion.</w:t>
      </w:r>
    </w:p>
    <w:p>
      <w:pPr>
        <w:spacing w:after="120" w:before="280"/>
      </w:pPr>
      <w:r>
        <w:rPr>
          <w:rFonts w:ascii="Georgia" w:cs="Georgia" w:eastAsia="Georgia" w:hAnsi="Georgia"/>
          <w:b/>
          <w:bCs/>
          <w:i/>
          <w:iCs/>
          <w:color w:val="1A1714"/>
          <w:sz w:val="22"/>
          <w:szCs w:val="22"/>
        </w:rPr>
        <w:t xml:space="preserve">Points de friction identifiés</w:t>
      </w:r>
    </w:p>
    <w:p>
      <w:pPr>
        <w:pStyle w:val="ListParagraph"/>
        <w:numPr>
          <w:ilvl w:val="0"/>
          <w:numId w:val="2"/>
        </w:numPr>
        <w:spacing w:after="40" w:before="40"/>
      </w:pPr>
      <w:r>
        <w:rPr>
          <w:rFonts w:ascii="Arial" w:cs="Arial" w:eastAsia="Arial" w:hAnsi="Arial"/>
          <w:color w:val="1A1714"/>
          <w:sz w:val="20"/>
          <w:szCs w:val="20"/>
        </w:rPr>
        <w:t xml:space="preserve">FRICTION CRITIQUE : La page est un monolithe de ~850 lignes HTML. Le scroll fatigue est réel (environ 12 écrans de contenu). Les sections FAQ, Pricing, Fondateur et Lead Magnet s’enchaînent sans respiration visuelle suffisante.</w:t>
      </w:r>
    </w:p>
    <w:p>
      <w:pPr>
        <w:pStyle w:val="ListParagraph"/>
        <w:numPr>
          <w:ilvl w:val="0"/>
          <w:numId w:val="2"/>
        </w:numPr>
        <w:spacing w:after="40" w:before="40"/>
      </w:pPr>
      <w:r>
        <w:rPr>
          <w:rFonts w:ascii="Arial" w:cs="Arial" w:eastAsia="Arial" w:hAnsi="Arial"/>
          <w:color w:val="1A1714"/>
          <w:sz w:val="20"/>
          <w:szCs w:val="20"/>
        </w:rPr>
        <w:t xml:space="preserve">Le CTA principal « Demander un devis » redirige vers partenaires.html — une page entière. Problème de loi de Hick : trop de choix tue la conversion. Un formulaire inline ou un modal simplifié convertirait mieux.</w:t>
      </w:r>
    </w:p>
    <w:p>
      <w:pPr>
        <w:pStyle w:val="ListParagraph"/>
        <w:numPr>
          <w:ilvl w:val="0"/>
          <w:numId w:val="2"/>
        </w:numPr>
        <w:spacing w:after="40" w:before="40"/>
      </w:pPr>
      <w:r>
        <w:rPr>
          <w:rFonts w:ascii="Arial" w:cs="Arial" w:eastAsia="Arial" w:hAnsi="Arial"/>
          <w:color w:val="1A1714"/>
          <w:sz w:val="20"/>
          <w:szCs w:val="20"/>
        </w:rPr>
        <w:t xml:space="preserve">Le catalogue affiche 9 produits au même prix (dès 5€). Aucune différenciation tarifaire entre les pièces. Cela crée une perception de « produit générique », contraire au positionnement luxe.</w:t>
      </w:r>
    </w:p>
    <w:p>
      <w:pPr>
        <w:pStyle w:val="ListParagraph"/>
        <w:numPr>
          <w:ilvl w:val="0"/>
          <w:numId w:val="2"/>
        </w:numPr>
        <w:spacing w:after="40" w:before="40"/>
      </w:pPr>
      <w:r>
        <w:rPr>
          <w:rFonts w:ascii="Arial" w:cs="Arial" w:eastAsia="Arial" w:hAnsi="Arial"/>
          <w:color w:val="1A1714"/>
          <w:sz w:val="20"/>
          <w:szCs w:val="20"/>
        </w:rPr>
        <w:t xml:space="preserve">Absence de micro-interactions de feedback. Les filtres du catalogue changent les cartes sans animation de transition, créant une rupture d’expérience (violation du principe de continuité de la Gestalt).</w:t>
      </w:r>
    </w:p>
    <w:p>
      <w:pPr>
        <w:pStyle w:val="ListParagraph"/>
        <w:numPr>
          <w:ilvl w:val="0"/>
          <w:numId w:val="2"/>
        </w:numPr>
        <w:spacing w:after="40" w:before="40"/>
      </w:pPr>
      <w:r>
        <w:rPr>
          <w:rFonts w:ascii="Arial" w:cs="Arial" w:eastAsia="Arial" w:hAnsi="Arial"/>
          <w:color w:val="1A1714"/>
          <w:sz w:val="20"/>
          <w:szCs w:val="20"/>
        </w:rPr>
        <w:t xml:space="preserve">Le scroll hint « Défiler » en bas du hero est trop discret. Sur mobile, l’affordance de scroll est quasi invisible.</w:t>
      </w:r>
    </w:p>
    <w:p>
      <w:pPr>
        <w:pStyle w:val="ListParagraph"/>
        <w:numPr>
          <w:ilvl w:val="0"/>
          <w:numId w:val="2"/>
        </w:numPr>
        <w:spacing w:after="40" w:before="40"/>
      </w:pPr>
      <w:r>
        <w:rPr>
          <w:rFonts w:ascii="Arial" w:cs="Arial" w:eastAsia="Arial" w:hAnsi="Arial"/>
          <w:color w:val="1A1714"/>
          <w:sz w:val="20"/>
          <w:szCs w:val="20"/>
        </w:rPr>
        <w:t xml:space="preserve">Liens « Mentions légales » et « CGV Pro » dans le footer pointent vers « # » (pages inexistantes). Ceci est un red flag pour tout professionnel et un manquement légal.</w:t>
      </w:r>
    </w:p>
    <w:p>
      <w:pPr>
        <w:spacing w:after="120" w:before="280"/>
      </w:pPr>
      <w:r>
        <w:rPr>
          <w:rFonts w:ascii="Georgia" w:cs="Georgia" w:eastAsia="Georgia" w:hAnsi="Georgia"/>
          <w:b/>
          <w:bCs/>
          <w:i/>
          <w:iCs/>
          <w:color w:val="1A1714"/>
          <w:sz w:val="22"/>
          <w:szCs w:val="22"/>
        </w:rPr>
        <w:t xml:space="preserve">Analyse des CTA</w:t>
      </w:r>
    </w:p>
    <w:p>
      <w:pPr>
        <w:spacing w:after="60" w:before="60"/>
      </w:pPr>
      <w:r>
        <w:rPr>
          <w:rFonts w:ascii="Arial" w:cs="Arial" w:eastAsia="Arial" w:hAnsi="Arial"/>
          <w:color w:val="1A1714"/>
          <w:sz w:val="20"/>
          <w:szCs w:val="20"/>
        </w:rPr>
        <w:t xml:space="preserve">Le site compte 11+ CTA distincts sur la homepage. Bien que la répétition soit une bonne pratique, la variété des libellés (« Demander un devis », « Rejoindre nos partenaires », « Demander une dégustation gratuite », « Devenir partenaire », « Demander un devis personnalisé ») crée une dissonance cognitive. La règle CRO est : un objectif = un libellé = un chemin.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1"/>
              <w:left w:val="single" w:color="A8895C" w:sz="6"/>
              <w:bottom w:val="single" w:color="A8895C" w:sz="1"/>
              <w:right w:val="single" w:color="A8895C" w:sz="1"/>
            </w:tcBorders>
            <w:shd w:fill="FFFFFF" w:val="clear"/>
            <w:tcMar>
              <w:top w:type="dxa" w:w="100"/>
              <w:left w:type="dxa" w:w="200"/>
              <w:bottom w:type="dxa" w:w="100"/>
              <w:right w:type="dxa" w:w="200"/>
            </w:tcMar>
          </w:tcPr>
          <w:p>
            <w:r>
              <w:rPr>
                <w:rFonts w:ascii="Arial" w:cs="Arial" w:eastAsia="Arial" w:hAnsi="Arial"/>
                <w:b/>
                <w:bCs/>
                <w:color w:val="A8895C"/>
                <w:sz w:val="18"/>
                <w:szCs w:val="18"/>
              </w:rPr>
              <w:t xml:space="preserve">VERDICT : </w:t>
            </w:r>
            <w:r>
              <w:rPr>
                <w:rFonts w:ascii="Arial" w:cs="Arial" w:eastAsia="Arial" w:hAnsi="Arial"/>
                <w:color w:val="1A1714"/>
                <w:sz w:val="18"/>
                <w:szCs w:val="18"/>
              </w:rPr>
              <w:t xml:space="preserve">7.5/10 — Architecture de l’information solide avec un funnel logique. Mais la page est trop longue, les CTA sont incohérents, et l’absence de pages légales est un risque juridique immédiat.</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3. </w:t>
      </w:r>
      <w:r>
        <w:rPr>
          <w:rFonts w:ascii="Georgia" w:cs="Georgia" w:eastAsia="Georgia" w:hAnsi="Georgia"/>
          <w:b/>
          <w:bCs/>
          <w:color w:val="1A1714"/>
          <w:sz w:val="28"/>
          <w:szCs w:val="28"/>
        </w:rPr>
        <w:t xml:space="preserve">AUDIT UI &amp; BRANDING</w:t>
      </w:r>
    </w:p>
    <w:p>
      <w:pPr>
        <w:spacing w:after="200" w:before="100"/>
      </w:pPr>
      <w:r>
        <w:rPr>
          <w:rFonts w:ascii="Arial" w:cs="Arial" w:eastAsia="Arial" w:hAnsi="Arial"/>
          <w:i/>
          <w:iCs/>
          <w:color w:val="6B6560"/>
          <w:sz w:val="20"/>
          <w:szCs w:val="20"/>
        </w:rPr>
        <w:t xml:space="preserve">Hiérarchie visuelle, typographie, espaces blancs, cohérence de la palette. Le design évoque-t-il le luxe ?</w:t>
      </w:r>
    </w:p>
    <w:p>
      <w:pPr>
        <w:spacing w:after="120" w:before="280"/>
      </w:pPr>
      <w:r>
        <w:rPr>
          <w:rFonts w:ascii="Georgia" w:cs="Georgia" w:eastAsia="Georgia" w:hAnsi="Georgia"/>
          <w:b/>
          <w:bCs/>
          <w:i/>
          <w:iCs/>
          <w:color w:val="1A1714"/>
          <w:sz w:val="22"/>
          <w:szCs w:val="22"/>
        </w:rPr>
        <w:t xml:space="preserve">Design System — Ce qui est excellent</w:t>
      </w:r>
    </w:p>
    <w:p>
      <w:pPr>
        <w:pStyle w:val="ListParagraph"/>
        <w:numPr>
          <w:ilvl w:val="0"/>
          <w:numId w:val="2"/>
        </w:numPr>
        <w:spacing w:after="40" w:before="40"/>
      </w:pPr>
      <w:r>
        <w:rPr>
          <w:rFonts w:ascii="Arial" w:cs="Arial" w:eastAsia="Arial" w:hAnsi="Arial"/>
          <w:color w:val="1A1714"/>
          <w:sz w:val="20"/>
          <w:szCs w:val="20"/>
        </w:rPr>
        <w:t xml:space="preserve">Le Design System est remarquablement structuré : tokens CSS organisés (couleurs, typographie, motion, ombres, espacement sur grille 8px), gradients, élévation. C’est un niveau de maturité rare pour un site de cette taille.</w:t>
      </w:r>
    </w:p>
    <w:p>
      <w:pPr>
        <w:pStyle w:val="ListParagraph"/>
        <w:numPr>
          <w:ilvl w:val="0"/>
          <w:numId w:val="2"/>
        </w:numPr>
        <w:spacing w:after="40" w:before="40"/>
      </w:pPr>
      <w:r>
        <w:rPr>
          <w:rFonts w:ascii="Arial" w:cs="Arial" w:eastAsia="Arial" w:hAnsi="Arial"/>
          <w:color w:val="1A1714"/>
          <w:sz w:val="20"/>
          <w:szCs w:val="20"/>
        </w:rPr>
        <w:t xml:space="preserve">La trilogie typographique Cormorant Garamond (serif/titres) + Outfit (sans/corps) + JetBrains Mono (mono/étiquettes) crée un contraste hiérarchique puissant et cohérent avec le positionnement luxe.</w:t>
      </w:r>
    </w:p>
    <w:p>
      <w:pPr>
        <w:pStyle w:val="ListParagraph"/>
        <w:numPr>
          <w:ilvl w:val="0"/>
          <w:numId w:val="2"/>
        </w:numPr>
        <w:spacing w:after="40" w:before="40"/>
      </w:pPr>
      <w:r>
        <w:rPr>
          <w:rFonts w:ascii="Arial" w:cs="Arial" w:eastAsia="Arial" w:hAnsi="Arial"/>
          <w:color w:val="1A1714"/>
          <w:sz w:val="20"/>
          <w:szCs w:val="20"/>
        </w:rPr>
        <w:t xml:space="preserve">La palette warm neutrals (#FAF5EF, #A8895C, #1A1714) est sophistiquée. L’accent gold est utilisé avec parcimonie. Le contraste de luminance eyebrow (#8A6D3B sur #FAF5EF = 5.1:1) est conforme WCAG AA.</w:t>
      </w:r>
    </w:p>
    <w:p>
      <w:pPr>
        <w:pStyle w:val="ListParagraph"/>
        <w:numPr>
          <w:ilvl w:val="0"/>
          <w:numId w:val="2"/>
        </w:numPr>
        <w:spacing w:after="40" w:before="40"/>
      </w:pPr>
      <w:r>
        <w:rPr>
          <w:rFonts w:ascii="Arial" w:cs="Arial" w:eastAsia="Arial" w:hAnsi="Arial"/>
          <w:color w:val="1A1714"/>
          <w:sz w:val="20"/>
          <w:szCs w:val="20"/>
        </w:rPr>
        <w:t xml:space="preserve">Le glassmorphism de la navbar (backdrop-filter blur + saturation) est exécuté avec maîtrise. La transition scrollée ajoute une élégance fonctionnelle.</w:t>
      </w:r>
    </w:p>
    <w:p>
      <w:pPr>
        <w:pStyle w:val="ListParagraph"/>
        <w:numPr>
          <w:ilvl w:val="0"/>
          <w:numId w:val="2"/>
        </w:numPr>
        <w:spacing w:after="40" w:before="40"/>
      </w:pPr>
      <w:r>
        <w:rPr>
          <w:rFonts w:ascii="Arial" w:cs="Arial" w:eastAsia="Arial" w:hAnsi="Arial"/>
          <w:color w:val="1A1714"/>
          <w:sz w:val="20"/>
          <w:szCs w:val="20"/>
        </w:rPr>
        <w:t xml:space="preserve">Le grain overlay SVG en fixed est un détail de craftsmanship qui ajoute une texture organique subtile, évoquant le papier vélin.</w:t>
      </w:r>
    </w:p>
    <w:p>
      <w:pPr>
        <w:pStyle w:val="ListParagraph"/>
        <w:numPr>
          <w:ilvl w:val="0"/>
          <w:numId w:val="2"/>
        </w:numPr>
        <w:spacing w:after="40" w:before="40"/>
      </w:pPr>
      <w:r>
        <w:rPr>
          <w:rFonts w:ascii="Arial" w:cs="Arial" w:eastAsia="Arial" w:hAnsi="Arial"/>
          <w:color w:val="1A1714"/>
          <w:sz w:val="20"/>
          <w:szCs w:val="20"/>
        </w:rPr>
        <w:t xml:space="preserve">Les animations GSAP avec des courbes custom (ease-spring, ease-expo) et les staggered reveals donnent une sensation de fluidité haut de gamme.</w:t>
      </w:r>
    </w:p>
    <w:p>
      <w:pPr>
        <w:spacing w:after="120" w:before="280"/>
      </w:pPr>
      <w:r>
        <w:rPr>
          <w:rFonts w:ascii="Georgia" w:cs="Georgia" w:eastAsia="Georgia" w:hAnsi="Georgia"/>
          <w:b/>
          <w:bCs/>
          <w:i/>
          <w:iCs/>
          <w:color w:val="1A1714"/>
          <w:sz w:val="22"/>
          <w:szCs w:val="22"/>
        </w:rPr>
        <w:t xml:space="preserve">Points de vigilance UI</w:t>
      </w:r>
    </w:p>
    <w:p>
      <w:pPr>
        <w:pStyle w:val="ListParagraph"/>
        <w:numPr>
          <w:ilvl w:val="0"/>
          <w:numId w:val="2"/>
        </w:numPr>
        <w:spacing w:after="40" w:before="40"/>
      </w:pPr>
      <w:r>
        <w:rPr>
          <w:rFonts w:ascii="Arial" w:cs="Arial" w:eastAsia="Arial" w:hAnsi="Arial"/>
          <w:color w:val="1A1714"/>
          <w:sz w:val="20"/>
          <w:szCs w:val="20"/>
        </w:rPr>
        <w:t xml:space="preserve">INCOHÉRENCE : L’overlay vidéo style « Instagram Reels » (icônes cœur, commentaire, share, @maisonmirage) casse l’esthétique luxe/épurée du reste du site. Ce choix UX est compréhensible (communiquer la viralité), mais l’exécution visuelle est dissonante.</w:t>
      </w:r>
    </w:p>
    <w:p>
      <w:pPr>
        <w:pStyle w:val="ListParagraph"/>
        <w:numPr>
          <w:ilvl w:val="0"/>
          <w:numId w:val="2"/>
        </w:numPr>
        <w:spacing w:after="40" w:before="40"/>
      </w:pPr>
      <w:r>
        <w:rPr>
          <w:rFonts w:ascii="Arial" w:cs="Arial" w:eastAsia="Arial" w:hAnsi="Arial"/>
          <w:color w:val="1A1714"/>
          <w:sz w:val="20"/>
          <w:szCs w:val="20"/>
        </w:rPr>
        <w:t xml:space="preserve">Les emojis dans la sticky CTA bar (🛡️, ⏰, 🚚) sont antithétiques au positionnement luxe. Les marques premium utilisent des icônes vectorielles custom, jamais des emojis Unicode.</w:t>
      </w:r>
    </w:p>
    <w:p>
      <w:pPr>
        <w:pStyle w:val="ListParagraph"/>
        <w:numPr>
          <w:ilvl w:val="0"/>
          <w:numId w:val="2"/>
        </w:numPr>
        <w:spacing w:after="40" w:before="40"/>
      </w:pPr>
      <w:r>
        <w:rPr>
          <w:rFonts w:ascii="Arial" w:cs="Arial" w:eastAsia="Arial" w:hAnsi="Arial"/>
          <w:color w:val="1A1714"/>
          <w:sz w:val="20"/>
          <w:szCs w:val="20"/>
        </w:rPr>
        <w:t xml:space="preserve">Le pricing grid utilise des styles inline (style="...") au lieu des classes CSS, ce qui brise la cohérence du Design System et rend la maintenance impossible.</w:t>
      </w:r>
    </w:p>
    <w:p>
      <w:pPr>
        <w:pStyle w:val="ListParagraph"/>
        <w:numPr>
          <w:ilvl w:val="0"/>
          <w:numId w:val="2"/>
        </w:numPr>
        <w:spacing w:after="40" w:before="40"/>
      </w:pPr>
      <w:r>
        <w:rPr>
          <w:rFonts w:ascii="Arial" w:cs="Arial" w:eastAsia="Arial" w:hAnsi="Arial"/>
          <w:color w:val="1A1714"/>
          <w:sz w:val="20"/>
          <w:szCs w:val="20"/>
        </w:rPr>
        <w:t xml:space="preserve">Les badges produits (Bestseller, Nouveau, Saison, Série limitée, Grand Cru) manquent de hiérarchie visuelle. Ils utilisent des classes différentes mais pas de système de couleur distinctif.</w:t>
      </w:r>
    </w:p>
    <w:p>
      <w:pPr>
        <w:pStyle w:val="ListParagraph"/>
        <w:numPr>
          <w:ilvl w:val="0"/>
          <w:numId w:val="2"/>
        </w:numPr>
        <w:spacing w:after="40" w:before="40"/>
      </w:pPr>
      <w:r>
        <w:rPr>
          <w:rFonts w:ascii="Arial" w:cs="Arial" w:eastAsia="Arial" w:hAnsi="Arial"/>
          <w:color w:val="1A1714"/>
          <w:sz w:val="20"/>
          <w:szCs w:val="20"/>
        </w:rPr>
        <w:t xml:space="preserve">L’espace blanc entre les sections est insuffisant en bas de page. Les sections FAQ → Lead Magnet → CTA Banner → Footer sont compressées, créant une sensation de « clutter » qui contredit le langage visuel aéré du haut de page.</w:t>
      </w:r>
    </w:p>
    <w:p>
      <w:pPr>
        <w:spacing w:after="120" w:before="280"/>
      </w:pPr>
      <w:r>
        <w:rPr>
          <w:rFonts w:ascii="Georgia" w:cs="Georgia" w:eastAsia="Georgia" w:hAnsi="Georgia"/>
          <w:b/>
          <w:bCs/>
          <w:i/>
          <w:iCs/>
          <w:color w:val="1A1714"/>
          <w:sz w:val="22"/>
          <w:szCs w:val="22"/>
        </w:rPr>
        <w:t xml:space="preserve">Typographie — Détail</w:t>
      </w:r>
    </w:p>
    <w:p>
      <w:pPr>
        <w:spacing w:after="60" w:before="60"/>
      </w:pPr>
      <w:r>
        <w:rPr>
          <w:rFonts w:ascii="Arial" w:cs="Arial" w:eastAsia="Arial" w:hAnsi="Arial"/>
          <w:color w:val="1A1714"/>
          <w:sz w:val="20"/>
          <w:szCs w:val="20"/>
        </w:rPr>
        <w:t xml:space="preserve">L’usage des italiques dans les titres (em tags) pour créer un emphasis doré est un device typographique élégant. Cependant, la taille du body text (0.925rem = ~14.8px) est légèrement sous le seuil optimal de 16px pour la lisibilité web, notamment sur mobile. Les eyebrows à 0.65rem (~10.4px) sont à la limite de la lisibilité pour les yeux de personnes de 40+.</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FFFFF" w:val="clear"/>
            <w:tcMar>
              <w:top w:type="dxa" w:w="100"/>
              <w:left w:type="dxa" w:w="200"/>
              <w:bottom w:type="dxa" w:w="100"/>
              <w:right w:type="dxa" w:w="200"/>
            </w:tcMar>
          </w:tcPr>
          <w:p>
            <w:r>
              <w:rPr>
                <w:rFonts w:ascii="Arial" w:cs="Arial" w:eastAsia="Arial" w:hAnsi="Arial"/>
                <w:b/>
                <w:bCs/>
                <w:color w:val="4A7C59"/>
                <w:sz w:val="18"/>
                <w:szCs w:val="18"/>
              </w:rPr>
              <w:t xml:space="preserve">VERDICT : </w:t>
            </w:r>
            <w:r>
              <w:rPr>
                <w:rFonts w:ascii="Arial" w:cs="Arial" w:eastAsia="Arial" w:hAnsi="Arial"/>
                <w:color w:val="1A1714"/>
                <w:sz w:val="18"/>
                <w:szCs w:val="18"/>
              </w:rPr>
              <w:t xml:space="preserve">8.5/10 — Le Design System est le point fort majeur du site. Niveau d’exécution comparable aux meilleures marques de luxe digitales. Les incohérences (emojis, overlay Reels, inline styles) sont des détails corrigeables qui ternissent un travail par ailleurs remarquable.</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4. </w:t>
      </w:r>
      <w:r>
        <w:rPr>
          <w:rFonts w:ascii="Georgia" w:cs="Georgia" w:eastAsia="Georgia" w:hAnsi="Georgia"/>
          <w:b/>
          <w:bCs/>
          <w:color w:val="1A1714"/>
          <w:sz w:val="28"/>
          <w:szCs w:val="28"/>
        </w:rPr>
        <w:t xml:space="preserve">AUDIT MARKETING &amp; PSYCHOLOGIE</w:t>
      </w:r>
    </w:p>
    <w:p>
      <w:pPr>
        <w:spacing w:after="200" w:before="100"/>
      </w:pPr>
      <w:r>
        <w:rPr>
          <w:rFonts w:ascii="Arial" w:cs="Arial" w:eastAsia="Arial" w:hAnsi="Arial"/>
          <w:i/>
          <w:iCs/>
          <w:color w:val="6B6560"/>
          <w:sz w:val="20"/>
          <w:szCs w:val="20"/>
        </w:rPr>
        <w:t xml:space="preserve">Preuves sociales, réassurance, leviers de persuasion (rareté, autorité, désirabilité).</w:t>
      </w:r>
    </w:p>
    <w:p>
      <w:pPr>
        <w:spacing w:after="120" w:before="280"/>
      </w:pPr>
      <w:r>
        <w:rPr>
          <w:rFonts w:ascii="Georgia" w:cs="Georgia" w:eastAsia="Georgia" w:hAnsi="Georgia"/>
          <w:b/>
          <w:bCs/>
          <w:i/>
          <w:iCs/>
          <w:color w:val="1A1714"/>
          <w:sz w:val="22"/>
          <w:szCs w:val="22"/>
        </w:rPr>
        <w:t xml:space="preserve">Analyse des leviers de persuasion (framework Cialdini)</w:t>
      </w:r>
    </w:p>
    <w:p>
      <w:pPr>
        <w:spacing w:after="60" w:before="60"/>
      </w:pPr>
      <w:r>
        <w:rPr>
          <w:rFonts w:ascii="Arial" w:cs="Arial" w:eastAsia="Arial" w:hAnsi="Arial"/>
          <w:color w:val="1A1714"/>
          <w:sz w:val="20"/>
          <w:szCs w:val="20"/>
        </w:rPr>
        <w:t xml:space="preserve">Preuve sociale (4/10) — C’est le maillon faible du site. Les témoignages ne comportent aucun nom de personne, aucun visage humain, aucun verbatim attribuable. Les métriques (+45%, +30%) sont affirmées sans source. Les logos partenaires sont en niveaux de gris et petits. Pour un acheteur B2B, l’absence de case studies détaillées avec ROI précis est un frein majeur à la conversion.</w:t>
      </w:r>
    </w:p>
    <w:p>
      <w:pPr>
        <w:spacing w:after="60" w:before="60"/>
      </w:pPr>
      <w:r>
        <w:rPr>
          <w:rFonts w:ascii="Arial" w:cs="Arial" w:eastAsia="Arial" w:hAnsi="Arial"/>
          <w:color w:val="1A1714"/>
          <w:sz w:val="20"/>
          <w:szCs w:val="20"/>
        </w:rPr>
        <w:t xml:space="preserve">Autorité (5/10) — La section presse cite La Provence et Bouches-du-Rhône Entreprendre, mais sans liens, sans extraits, sans logos de médias. L’Instagram Food Community n’est pas un média — c’est une communauté auto-déclarée. L’absence de mentions dans des médias foodtech nationaux (Les Échos, Le Figaro, Hospitality ON) limite la crédibilité.</w:t>
      </w:r>
    </w:p>
    <w:p>
      <w:pPr>
        <w:spacing w:after="60" w:before="60"/>
      </w:pPr>
      <w:r>
        <w:rPr>
          <w:rFonts w:ascii="Arial" w:cs="Arial" w:eastAsia="Arial" w:hAnsi="Arial"/>
          <w:color w:val="1A1714"/>
          <w:sz w:val="20"/>
          <w:szCs w:val="20"/>
        </w:rPr>
        <w:t xml:space="preserve">Rareté (3/10) — Seul le badge « Série limitée » sur La Passion et les badges saisonniers exploitent ce levier. Aucun compteur de stock, aucune fenêtre de commande, aucun « X établissements en attente ». Pour un produit artisanal à capacité limitée, c’est un levier sous-exploité.</w:t>
      </w:r>
    </w:p>
    <w:p>
      <w:pPr>
        <w:spacing w:after="60" w:before="60"/>
      </w:pPr>
      <w:r>
        <w:rPr>
          <w:rFonts w:ascii="Arial" w:cs="Arial" w:eastAsia="Arial" w:hAnsi="Arial"/>
          <w:color w:val="1A1714"/>
          <w:sz w:val="20"/>
          <w:szCs w:val="20"/>
        </w:rPr>
        <w:t xml:space="preserve">Réciprocité (7/10) — La dégustation gratuite est un levier de réciprocité puissant, bien mis en avant. Le catalogue PDF gratuit par email est un bon lead magnet. Mais le contenu du PDF n’est pas téasé (aucun aperçu), ce qui réduit son attractivité perçue.</w:t>
      </w:r>
    </w:p>
    <w:p>
      <w:pPr>
        <w:spacing w:after="60" w:before="60"/>
      </w:pPr>
      <w:r>
        <w:rPr>
          <w:rFonts w:ascii="Arial" w:cs="Arial" w:eastAsia="Arial" w:hAnsi="Arial"/>
          <w:color w:val="1A1714"/>
          <w:sz w:val="20"/>
          <w:szCs w:val="20"/>
        </w:rPr>
        <w:t xml:space="preserve">Cohérence/Engagement (6/10) — Le chatbot avec escalade email crée un micro-engagement avant conversion. Mais il n’y a pas de « micro yes » dans le parcours : pas de quiz, pas de configurateur de commande, pas d’estimateur de marge.</w:t>
      </w:r>
    </w:p>
    <w:p>
      <w:pPr>
        <w:spacing w:after="120" w:before="280"/>
      </w:pPr>
      <w:r>
        <w:rPr>
          <w:rFonts w:ascii="Georgia" w:cs="Georgia" w:eastAsia="Georgia" w:hAnsi="Georgia"/>
          <w:b/>
          <w:bCs/>
          <w:i/>
          <w:iCs/>
          <w:color w:val="1A1714"/>
          <w:sz w:val="22"/>
          <w:szCs w:val="22"/>
        </w:rPr>
        <w:t xml:space="preserve">Objections non traitées</w:t>
      </w:r>
    </w:p>
    <w:p>
      <w:pPr>
        <w:pStyle w:val="ListParagraph"/>
        <w:numPr>
          <w:ilvl w:val="0"/>
          <w:numId w:val="2"/>
        </w:numPr>
        <w:spacing w:after="40" w:before="40"/>
      </w:pPr>
      <w:r>
        <w:rPr>
          <w:rFonts w:ascii="Arial" w:cs="Arial" w:eastAsia="Arial" w:hAnsi="Arial"/>
          <w:color w:val="1A1714"/>
          <w:sz w:val="20"/>
          <w:szCs w:val="20"/>
        </w:rPr>
        <w:t xml:space="preserve">Aucune mention de certifications (hygiène, HACCP, laboratoire agréé). Pour un acheteur B2B food, c’est rédhibitoire.</w:t>
      </w:r>
    </w:p>
    <w:p>
      <w:pPr>
        <w:pStyle w:val="ListParagraph"/>
        <w:numPr>
          <w:ilvl w:val="0"/>
          <w:numId w:val="2"/>
        </w:numPr>
        <w:spacing w:after="40" w:before="40"/>
      </w:pPr>
      <w:r>
        <w:rPr>
          <w:rFonts w:ascii="Arial" w:cs="Arial" w:eastAsia="Arial" w:hAnsi="Arial"/>
          <w:color w:val="1A1714"/>
          <w:sz w:val="20"/>
          <w:szCs w:val="20"/>
        </w:rPr>
        <w:t xml:space="preserve">Pas de mention d’assurance / responsabilité civile professionnelle.</w:t>
      </w:r>
    </w:p>
    <w:p>
      <w:pPr>
        <w:pStyle w:val="ListParagraph"/>
        <w:numPr>
          <w:ilvl w:val="0"/>
          <w:numId w:val="2"/>
        </w:numPr>
        <w:spacing w:after="40" w:before="40"/>
      </w:pPr>
      <w:r>
        <w:rPr>
          <w:rFonts w:ascii="Arial" w:cs="Arial" w:eastAsia="Arial" w:hAnsi="Arial"/>
          <w:color w:val="1A1714"/>
          <w:sz w:val="20"/>
          <w:szCs w:val="20"/>
        </w:rPr>
        <w:t xml:space="preserve">Les CGV Pro et Mentions Légales sont des liens morts (href="#"). C’est un signal de non-professionnalisme.</w:t>
      </w:r>
    </w:p>
    <w:p>
      <w:pPr>
        <w:pStyle w:val="ListParagraph"/>
        <w:numPr>
          <w:ilvl w:val="0"/>
          <w:numId w:val="2"/>
        </w:numPr>
        <w:spacing w:after="40" w:before="40"/>
      </w:pPr>
      <w:r>
        <w:rPr>
          <w:rFonts w:ascii="Arial" w:cs="Arial" w:eastAsia="Arial" w:hAnsi="Arial"/>
          <w:color w:val="1A1714"/>
          <w:sz w:val="20"/>
          <w:szCs w:val="20"/>
        </w:rPr>
        <w:t xml:space="preserve">Aucune information sur les conditions de paiement, délais de facturation, minimum de commande effectif.</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3A" w:sz="1"/>
              <w:left w:val="single" w:color="8C3A3A" w:sz="6"/>
              <w:bottom w:val="single" w:color="8C3A3A" w:sz="1"/>
              <w:right w:val="single" w:color="8C3A3A" w:sz="1"/>
            </w:tcBorders>
            <w:shd w:fill="FFFFFF" w:val="clear"/>
            <w:tcMar>
              <w:top w:type="dxa" w:w="100"/>
              <w:left w:type="dxa" w:w="200"/>
              <w:bottom w:type="dxa" w:w="100"/>
              <w:right w:type="dxa" w:w="200"/>
            </w:tcMar>
          </w:tcPr>
          <w:p>
            <w:r>
              <w:rPr>
                <w:rFonts w:ascii="Arial" w:cs="Arial" w:eastAsia="Arial" w:hAnsi="Arial"/>
                <w:b/>
                <w:bCs/>
                <w:color w:val="8C3A3A"/>
                <w:sz w:val="18"/>
                <w:szCs w:val="18"/>
              </w:rPr>
              <w:t xml:space="preserve">VERDICT : </w:t>
            </w:r>
            <w:r>
              <w:rPr>
                <w:rFonts w:ascii="Arial" w:cs="Arial" w:eastAsia="Arial" w:hAnsi="Arial"/>
                <w:color w:val="1A1714"/>
                <w:sz w:val="18"/>
                <w:szCs w:val="18"/>
              </w:rPr>
              <w:t xml:space="preserve">6/10 — Le site séduit visuellement mais ne convainc pas analytiquement. Un acheteur B2B a besoin de preuves tangibles, de chiffres vérifiables et de garanties contractuelles. C’est le chantier prioritaire.</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5. </w:t>
      </w:r>
      <w:r>
        <w:rPr>
          <w:rFonts w:ascii="Georgia" w:cs="Georgia" w:eastAsia="Georgia" w:hAnsi="Georgia"/>
          <w:b/>
          <w:bCs/>
          <w:color w:val="1A1714"/>
          <w:sz w:val="28"/>
          <w:szCs w:val="28"/>
        </w:rPr>
        <w:t xml:space="preserve">ANALYSE TECHNIQUE &amp; MOBILE</w:t>
      </w:r>
    </w:p>
    <w:p>
      <w:pPr>
        <w:spacing w:after="120" w:before="280"/>
      </w:pPr>
      <w:r>
        <w:rPr>
          <w:rFonts w:ascii="Georgia" w:cs="Georgia" w:eastAsia="Georgia" w:hAnsi="Georgia"/>
          <w:b/>
          <w:bCs/>
          <w:i/>
          <w:iCs/>
          <w:color w:val="1A1714"/>
          <w:sz w:val="22"/>
          <w:szCs w:val="22"/>
        </w:rPr>
        <w:t xml:space="preserve">Performance</w:t>
      </w:r>
    </w:p>
    <w:p>
      <w:pPr>
        <w:pStyle w:val="ListParagraph"/>
        <w:numPr>
          <w:ilvl w:val="0"/>
          <w:numId w:val="2"/>
        </w:numPr>
        <w:spacing w:after="40" w:before="40"/>
      </w:pPr>
      <w:r>
        <w:rPr>
          <w:rFonts w:ascii="Arial" w:cs="Arial" w:eastAsia="Arial" w:hAnsi="Arial"/>
          <w:color w:val="1A1714"/>
          <w:sz w:val="20"/>
          <w:szCs w:val="20"/>
        </w:rPr>
        <w:t xml:space="preserve">Le preload de l’image hero (hero-flatlay.webp) est correct. Le format WebP est utilisé systématiquement, ce qui est un best practice.</w:t>
      </w:r>
    </w:p>
    <w:p>
      <w:pPr>
        <w:pStyle w:val="ListParagraph"/>
        <w:numPr>
          <w:ilvl w:val="0"/>
          <w:numId w:val="2"/>
        </w:numPr>
        <w:spacing w:after="40" w:before="40"/>
      </w:pPr>
      <w:r>
        <w:rPr>
          <w:rFonts w:ascii="Arial" w:cs="Arial" w:eastAsia="Arial" w:hAnsi="Arial"/>
          <w:color w:val="1A1714"/>
          <w:sz w:val="20"/>
          <w:szCs w:val="20"/>
        </w:rPr>
        <w:t xml:space="preserve">GSAP + ScrollTrigger sont chargés en defer, ce qui ne bloque pas le rendu initial.</w:t>
      </w:r>
    </w:p>
    <w:p>
      <w:pPr>
        <w:pStyle w:val="ListParagraph"/>
        <w:numPr>
          <w:ilvl w:val="0"/>
          <w:numId w:val="2"/>
        </w:numPr>
        <w:spacing w:after="40" w:before="40"/>
      </w:pPr>
      <w:r>
        <w:rPr>
          <w:rFonts w:ascii="Arial" w:cs="Arial" w:eastAsia="Arial" w:hAnsi="Arial"/>
          <w:color w:val="1A1714"/>
          <w:sz w:val="20"/>
          <w:szCs w:val="20"/>
        </w:rPr>
        <w:t xml:space="preserve">Le grain overlay SVG en fixed avec will-change: auto est optimisé pour le compositing GPU, avec réduction d’opacité sur mobile (hover: none).</w:t>
      </w:r>
    </w:p>
    <w:p>
      <w:pPr>
        <w:pStyle w:val="ListParagraph"/>
        <w:numPr>
          <w:ilvl w:val="0"/>
          <w:numId w:val="2"/>
        </w:numPr>
        <w:spacing w:after="40" w:before="40"/>
      </w:pPr>
      <w:r>
        <w:rPr>
          <w:rFonts w:ascii="Arial" w:cs="Arial" w:eastAsia="Arial" w:hAnsi="Arial"/>
          <w:color w:val="1A1714"/>
          <w:sz w:val="20"/>
          <w:szCs w:val="20"/>
        </w:rPr>
        <w:t xml:space="preserve">PROBLÈME : La vidéo hero (peche-decoupe.mp4) est en autoplay, ce qui peut être lourd sur connexion mobile 3G/4G lente. Pas de source WebM alternative pour les navigateurs le supportant. Pas d’attribut preload="metadata".</w:t>
      </w:r>
    </w:p>
    <w:p>
      <w:pPr>
        <w:pStyle w:val="ListParagraph"/>
        <w:numPr>
          <w:ilvl w:val="0"/>
          <w:numId w:val="2"/>
        </w:numPr>
        <w:spacing w:after="40" w:before="40"/>
      </w:pPr>
      <w:r>
        <w:rPr>
          <w:rFonts w:ascii="Arial" w:cs="Arial" w:eastAsia="Arial" w:hAnsi="Arial"/>
          <w:color w:val="1A1714"/>
          <w:sz w:val="20"/>
          <w:szCs w:val="20"/>
        </w:rPr>
        <w:t xml:space="preserve">Le CSS totalise ~120KB (styles.css 94KB + homepage.css 24KB). C’est dense pour un site de cette taille et suggère un manque de purge CSS ou de code splitting.</w:t>
      </w:r>
    </w:p>
    <w:p>
      <w:pPr>
        <w:pStyle w:val="ListParagraph"/>
        <w:numPr>
          <w:ilvl w:val="0"/>
          <w:numId w:val="2"/>
        </w:numPr>
        <w:spacing w:after="40" w:before="40"/>
      </w:pPr>
      <w:r>
        <w:rPr>
          <w:rFonts w:ascii="Arial" w:cs="Arial" w:eastAsia="Arial" w:hAnsi="Arial"/>
          <w:color w:val="1A1714"/>
          <w:sz w:val="20"/>
          <w:szCs w:val="20"/>
        </w:rPr>
        <w:t xml:space="preserve">Pas de Service Worker, pas de stratégie offline-first — acceptable pour un site vitrine B2B.</w:t>
      </w:r>
    </w:p>
    <w:p>
      <w:pPr>
        <w:spacing w:after="120" w:before="280"/>
      </w:pPr>
      <w:r>
        <w:rPr>
          <w:rFonts w:ascii="Georgia" w:cs="Georgia" w:eastAsia="Georgia" w:hAnsi="Georgia"/>
          <w:b/>
          <w:bCs/>
          <w:i/>
          <w:iCs/>
          <w:color w:val="1A1714"/>
          <w:sz w:val="22"/>
          <w:szCs w:val="22"/>
        </w:rPr>
        <w:t xml:space="preserve">Mobile &amp; Responsive</w:t>
      </w:r>
    </w:p>
    <w:p>
      <w:pPr>
        <w:pStyle w:val="ListParagraph"/>
        <w:numPr>
          <w:ilvl w:val="0"/>
          <w:numId w:val="2"/>
        </w:numPr>
        <w:spacing w:after="40" w:before="40"/>
      </w:pPr>
      <w:r>
        <w:rPr>
          <w:rFonts w:ascii="Arial" w:cs="Arial" w:eastAsia="Arial" w:hAnsi="Arial"/>
          <w:color w:val="1A1714"/>
          <w:sz w:val="20"/>
          <w:szCs w:val="20"/>
        </w:rPr>
        <w:t xml:space="preserve">La navigation mobile (burger → overlay plein écran) est bien implémentée avec focus trap et fermeture au clavier.</w:t>
      </w:r>
    </w:p>
    <w:p>
      <w:pPr>
        <w:pStyle w:val="ListParagraph"/>
        <w:numPr>
          <w:ilvl w:val="0"/>
          <w:numId w:val="2"/>
        </w:numPr>
        <w:spacing w:after="40" w:before="40"/>
      </w:pPr>
      <w:r>
        <w:rPr>
          <w:rFonts w:ascii="Arial" w:cs="Arial" w:eastAsia="Arial" w:hAnsi="Arial"/>
          <w:color w:val="1A1714"/>
          <w:sz w:val="20"/>
          <w:szCs w:val="20"/>
        </w:rPr>
        <w:t xml:space="preserve">Les breakpoints sont gérés via clamp() et media queries à 768px. C’est un seul breakpoint — insuffisant pour couvrir la fragmentation des devices (tablette paysage, pliable).</w:t>
      </w:r>
    </w:p>
    <w:p>
      <w:pPr>
        <w:pStyle w:val="ListParagraph"/>
        <w:numPr>
          <w:ilvl w:val="0"/>
          <w:numId w:val="2"/>
        </w:numPr>
        <w:spacing w:after="40" w:before="40"/>
      </w:pPr>
      <w:r>
        <w:rPr>
          <w:rFonts w:ascii="Arial" w:cs="Arial" w:eastAsia="Arial" w:hAnsi="Arial"/>
          <w:color w:val="1A1714"/>
          <w:sz w:val="20"/>
          <w:szCs w:val="20"/>
        </w:rPr>
        <w:t xml:space="preserve">Le grid du catalogue (shop-grid) ne mentionne pas de scroll horizontal mobile. Le hint « Glisser pour explorer » est affiché mais le système de scroll tactile doit être vérifié.</w:t>
      </w:r>
    </w:p>
    <w:p>
      <w:pPr>
        <w:pStyle w:val="ListParagraph"/>
        <w:numPr>
          <w:ilvl w:val="0"/>
          <w:numId w:val="2"/>
        </w:numPr>
        <w:spacing w:after="40" w:before="40"/>
      </w:pPr>
      <w:r>
        <w:rPr>
          <w:rFonts w:ascii="Arial" w:cs="Arial" w:eastAsia="Arial" w:hAnsi="Arial"/>
          <w:color w:val="1A1714"/>
          <w:sz w:val="20"/>
          <w:szCs w:val="20"/>
        </w:rPr>
        <w:t xml:space="preserve">Les tailles de clic respectent la loi de Fitts (min-height: 48px sur les CTA), ce qui est un excellent point d’accessibilité.</w:t>
      </w:r>
    </w:p>
    <w:p>
      <w:pPr>
        <w:pStyle w:val="ListParagraph"/>
        <w:numPr>
          <w:ilvl w:val="0"/>
          <w:numId w:val="2"/>
        </w:numPr>
        <w:spacing w:after="40" w:before="40"/>
      </w:pPr>
      <w:r>
        <w:rPr>
          <w:rFonts w:ascii="Arial" w:cs="Arial" w:eastAsia="Arial" w:hAnsi="Arial"/>
          <w:color w:val="1A1714"/>
          <w:sz w:val="20"/>
          <w:szCs w:val="20"/>
        </w:rPr>
        <w:t xml:space="preserve">Le pricing grid à 3 colonnes risque d’être illisible sur écran &lt;375px (iPhone SE). Pas de stacking mobile visible dans le code.</w:t>
      </w:r>
    </w:p>
    <w:p>
      <w:pPr>
        <w:spacing w:after="120" w:before="280"/>
      </w:pPr>
      <w:r>
        <w:rPr>
          <w:rFonts w:ascii="Georgia" w:cs="Georgia" w:eastAsia="Georgia" w:hAnsi="Georgia"/>
          <w:b/>
          <w:bCs/>
          <w:i/>
          <w:iCs/>
          <w:color w:val="1A1714"/>
          <w:sz w:val="22"/>
          <w:szCs w:val="22"/>
        </w:rPr>
        <w:t xml:space="preserve">SEO technique</w:t>
      </w:r>
    </w:p>
    <w:p>
      <w:pPr>
        <w:pStyle w:val="ListParagraph"/>
        <w:numPr>
          <w:ilvl w:val="0"/>
          <w:numId w:val="2"/>
        </w:numPr>
        <w:spacing w:after="40" w:before="40"/>
      </w:pPr>
      <w:r>
        <w:rPr>
          <w:rFonts w:ascii="Arial" w:cs="Arial" w:eastAsia="Arial" w:hAnsi="Arial"/>
          <w:color w:val="1A1714"/>
          <w:sz w:val="20"/>
          <w:szCs w:val="20"/>
        </w:rPr>
        <w:t xml:space="preserve">Le balisage Schema.org (LocalBusiness + FAQPage) est complet et bien structuré.</w:t>
      </w:r>
    </w:p>
    <w:p>
      <w:pPr>
        <w:pStyle w:val="ListParagraph"/>
        <w:numPr>
          <w:ilvl w:val="0"/>
          <w:numId w:val="2"/>
        </w:numPr>
        <w:spacing w:after="40" w:before="40"/>
      </w:pPr>
      <w:r>
        <w:rPr>
          <w:rFonts w:ascii="Arial" w:cs="Arial" w:eastAsia="Arial" w:hAnsi="Arial"/>
          <w:color w:val="1A1714"/>
          <w:sz w:val="20"/>
          <w:szCs w:val="20"/>
        </w:rPr>
        <w:t xml:space="preserve">La balise canonical est présente. Les Open Graph sont correctement configurés.</w:t>
      </w:r>
    </w:p>
    <w:p>
      <w:pPr>
        <w:pStyle w:val="ListParagraph"/>
        <w:numPr>
          <w:ilvl w:val="0"/>
          <w:numId w:val="2"/>
        </w:numPr>
        <w:spacing w:after="40" w:before="40"/>
      </w:pPr>
      <w:r>
        <w:rPr>
          <w:rFonts w:ascii="Arial" w:cs="Arial" w:eastAsia="Arial" w:hAnsi="Arial"/>
          <w:color w:val="1A1714"/>
          <w:sz w:val="20"/>
          <w:szCs w:val="20"/>
        </w:rPr>
        <w:t xml:space="preserve">PROBLÈME : Le sitemap.xml référence des pages mais aucune image. Pour un site dont le produit est visuel, un image sitemap est essentiel.</w:t>
      </w:r>
    </w:p>
    <w:p>
      <w:pPr>
        <w:pStyle w:val="ListParagraph"/>
        <w:numPr>
          <w:ilvl w:val="0"/>
          <w:numId w:val="2"/>
        </w:numPr>
        <w:spacing w:after="40" w:before="40"/>
      </w:pPr>
      <w:r>
        <w:rPr>
          <w:rFonts w:ascii="Arial" w:cs="Arial" w:eastAsia="Arial" w:hAnsi="Arial"/>
          <w:color w:val="1A1714"/>
          <w:sz w:val="20"/>
          <w:szCs w:val="20"/>
        </w:rPr>
        <w:t xml:space="preserve">Le robots.txt est minimaliste. Pas de blocage de ressources inutiles.</w:t>
      </w:r>
    </w:p>
    <w:p>
      <w:pPr>
        <w:pStyle w:val="ListParagraph"/>
        <w:numPr>
          <w:ilvl w:val="0"/>
          <w:numId w:val="2"/>
        </w:numPr>
        <w:spacing w:after="40" w:before="40"/>
      </w:pPr>
      <w:r>
        <w:rPr>
          <w:rFonts w:ascii="Arial" w:cs="Arial" w:eastAsia="Arial" w:hAnsi="Arial"/>
          <w:color w:val="1A1714"/>
          <w:sz w:val="20"/>
          <w:szCs w:val="20"/>
        </w:rPr>
        <w:t xml:space="preserve">Pas de balise hreflang — problématique si l’ambition est internationale.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1"/>
              <w:left w:val="single" w:color="A8895C" w:sz="6"/>
              <w:bottom w:val="single" w:color="A8895C" w:sz="1"/>
              <w:right w:val="single" w:color="A8895C" w:sz="1"/>
            </w:tcBorders>
            <w:shd w:fill="FFFFFF" w:val="clear"/>
            <w:tcMar>
              <w:top w:type="dxa" w:w="100"/>
              <w:left w:type="dxa" w:w="200"/>
              <w:bottom w:type="dxa" w:w="100"/>
              <w:right w:type="dxa" w:w="200"/>
            </w:tcMar>
          </w:tcPr>
          <w:p>
            <w:r>
              <w:rPr>
                <w:rFonts w:ascii="Arial" w:cs="Arial" w:eastAsia="Arial" w:hAnsi="Arial"/>
                <w:b/>
                <w:bCs/>
                <w:color w:val="A8895C"/>
                <w:sz w:val="18"/>
                <w:szCs w:val="18"/>
              </w:rPr>
              <w:t xml:space="preserve">VERDICT : </w:t>
            </w:r>
            <w:r>
              <w:rPr>
                <w:rFonts w:ascii="Arial" w:cs="Arial" w:eastAsia="Arial" w:hAnsi="Arial"/>
                <w:color w:val="1A1714"/>
                <w:sz w:val="18"/>
                <w:szCs w:val="18"/>
              </w:rPr>
              <w:t xml:space="preserve">7/10 — Bonne base technique avec des choix modernes (WebP, GSAP defer, schema.org). Les lacunes sont sur l’optimisation vidéo mobile, le CSS bloat et l’absence de stratégie multi-breakpoints.</w:t>
            </w:r>
          </w:p>
        </w:tc>
      </w:tr>
    </w:tbl>
    <w:p>
      <w:r>
        <w:br w:type="page"/>
      </w:r>
    </w:p>
    <w:p>
      <w:pPr>
        <w:pBdr>
          <w:bottom w:val="single" w:color="A8895C" w:sz="2" w:space="6"/>
        </w:pBdr>
        <w:spacing w:after="200" w:before="400"/>
      </w:pPr>
      <w:r>
        <w:rPr>
          <w:rFonts w:ascii="Georgia" w:cs="Georgia" w:eastAsia="Georgia" w:hAnsi="Georgia"/>
          <w:b/>
          <w:bCs/>
          <w:color w:val="A8895C"/>
          <w:sz w:val="28"/>
          <w:szCs w:val="28"/>
        </w:rPr>
        <w:t xml:space="preserve">6. </w:t>
      </w:r>
      <w:r>
        <w:rPr>
          <w:rFonts w:ascii="Georgia" w:cs="Georgia" w:eastAsia="Georgia" w:hAnsi="Georgia"/>
          <w:b/>
          <w:bCs/>
          <w:color w:val="1A1714"/>
          <w:sz w:val="28"/>
          <w:szCs w:val="28"/>
        </w:rPr>
        <w:t xml:space="preserve">QUICK WINS &amp; ROADMAP STRATÉGIQUE</w:t>
      </w:r>
    </w:p>
    <w:p>
      <w:pPr>
        <w:spacing w:after="120" w:before="280"/>
      </w:pPr>
      <w:r>
        <w:rPr>
          <w:rFonts w:ascii="Georgia" w:cs="Georgia" w:eastAsia="Georgia" w:hAnsi="Georgia"/>
          <w:b/>
          <w:bCs/>
          <w:i/>
          <w:iCs/>
          <w:color w:val="1A1714"/>
          <w:sz w:val="22"/>
          <w:szCs w:val="22"/>
        </w:rPr>
        <w:t xml:space="preserve">5 Actions immédiates à fort impact (Quick Wins)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D9D0C7" w:sz="1"/>
              <w:left w:val="single" w:color="D9D0C7" w:sz="1"/>
              <w:bottom w:val="single" w:color="D9D0C7" w:sz="1"/>
              <w:right w:val="single" w:color="D9D0C7" w:sz="1"/>
            </w:tcBorders>
            <w:shd w:fill="1A1714" w:val="clear"/>
            <w:tcMar>
              <w:top w:type="dxa" w:w="80"/>
              <w:left w:type="dxa" w:w="120"/>
              <w:bottom w:type="dxa" w:w="80"/>
              <w:right w:type="dxa" w:w="120"/>
            </w:tcMar>
          </w:tcPr>
          <w:p>
            <w:pPr>
              <w:jc w:val="left"/>
            </w:pPr>
            <w:r>
              <w:rPr>
                <w:rFonts w:ascii="Arial" w:cs="Arial" w:eastAsia="Arial" w:hAnsi="Arial"/>
                <w:b/>
                <w:bCs/>
                <w:color w:val="FFFFFF"/>
                <w:sz w:val="16"/>
                <w:szCs w:val="16"/>
              </w:rPr>
              <w:t xml:space="preserve">#</w:t>
            </w:r>
          </w:p>
        </w:tc>
        <w:tc>
          <w:tcPr>
            <w:tcW w:type="dxa" w:w="5360"/>
            <w:tcBorders>
              <w:top w:val="single" w:color="D9D0C7" w:sz="1"/>
              <w:left w:val="single" w:color="D9D0C7" w:sz="1"/>
              <w:bottom w:val="single" w:color="D9D0C7" w:sz="1"/>
              <w:right w:val="single" w:color="D9D0C7" w:sz="1"/>
            </w:tcBorders>
            <w:shd w:fill="1A1714" w:val="clear"/>
            <w:tcMar>
              <w:top w:type="dxa" w:w="80"/>
              <w:left w:type="dxa" w:w="120"/>
              <w:bottom w:type="dxa" w:w="80"/>
              <w:right w:type="dxa" w:w="120"/>
            </w:tcMar>
          </w:tcPr>
          <w:p>
            <w:pPr>
              <w:jc w:val="left"/>
            </w:pPr>
            <w:r>
              <w:rPr>
                <w:rFonts w:ascii="Arial" w:cs="Arial" w:eastAsia="Arial" w:hAnsi="Arial"/>
                <w:b/>
                <w:bCs/>
                <w:color w:val="FFFFFF"/>
                <w:sz w:val="16"/>
                <w:szCs w:val="16"/>
              </w:rPr>
              <w:t xml:space="preserve">Action</w:t>
            </w:r>
          </w:p>
        </w:tc>
        <w:tc>
          <w:tcPr>
            <w:tcW w:type="dxa" w:w="1700"/>
            <w:tcBorders>
              <w:top w:val="single" w:color="D9D0C7" w:sz="1"/>
              <w:left w:val="single" w:color="D9D0C7" w:sz="1"/>
              <w:bottom w:val="single" w:color="D9D0C7" w:sz="1"/>
              <w:right w:val="single" w:color="D9D0C7"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w:t>
            </w:r>
          </w:p>
        </w:tc>
        <w:tc>
          <w:tcPr>
            <w:tcW w:type="dxa" w:w="1700"/>
            <w:tcBorders>
              <w:top w:val="single" w:color="D9D0C7" w:sz="1"/>
              <w:left w:val="single" w:color="D9D0C7" w:sz="1"/>
              <w:bottom w:val="single" w:color="D9D0C7" w:sz="1"/>
              <w:right w:val="single" w:color="D9D0C7"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Effort</w:t>
            </w:r>
          </w:p>
        </w:tc>
      </w:tr>
      <w:tr>
        <w:tc>
          <w:tcPr>
            <w:tcW w:type="dxa" w:w="600"/>
            <w:tcBorders>
              <w:top w:val="single" w:color="D9D0C7" w:sz="1"/>
              <w:left w:val="single" w:color="D9D0C7" w:sz="1"/>
              <w:bottom w:val="single" w:color="D9D0C7" w:sz="1"/>
              <w:right w:val="single" w:color="D9D0C7" w:sz="1"/>
            </w:tcBorders>
            <w:shd w:fill="A8895C"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1</w:t>
            </w:r>
          </w:p>
        </w:tc>
        <w:tc>
          <w:tcPr>
            <w:tcW w:type="dxa" w:w="536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r>
              <w:rPr>
                <w:rFonts w:ascii="Arial" w:cs="Arial" w:eastAsia="Arial" w:hAnsi="Arial"/>
                <w:color w:val="1A1714"/>
                <w:sz w:val="18"/>
                <w:szCs w:val="18"/>
              </w:rPr>
              <w:t xml:space="preserve">Remplacer les emojis de la sticky CTA par des icônes SVG custom et unifier tous les libellés CTA sur « Demander un devis »</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b/>
                <w:bCs/>
                <w:color w:val="A8895C"/>
                <w:sz w:val="16"/>
                <w:szCs w:val="16"/>
              </w:rPr>
              <w:t xml:space="preserve">Fort</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color w:val="6B6560"/>
                <w:sz w:val="16"/>
                <w:szCs w:val="16"/>
              </w:rPr>
              <w:t xml:space="preserve">2h</w:t>
            </w:r>
          </w:p>
        </w:tc>
      </w:tr>
      <w:tr>
        <w:tc>
          <w:tcPr>
            <w:tcW w:type="dxa" w:w="600"/>
            <w:tcBorders>
              <w:top w:val="single" w:color="D9D0C7" w:sz="1"/>
              <w:left w:val="single" w:color="D9D0C7" w:sz="1"/>
              <w:bottom w:val="single" w:color="D9D0C7" w:sz="1"/>
              <w:right w:val="single" w:color="D9D0C7" w:sz="1"/>
            </w:tcBorders>
            <w:shd w:fill="A8895C"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2</w:t>
            </w:r>
          </w:p>
        </w:tc>
        <w:tc>
          <w:tcPr>
            <w:tcW w:type="dxa" w:w="536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r>
              <w:rPr>
                <w:rFonts w:ascii="Arial" w:cs="Arial" w:eastAsia="Arial" w:hAnsi="Arial"/>
                <w:color w:val="1A1714"/>
                <w:sz w:val="18"/>
                <w:szCs w:val="18"/>
              </w:rPr>
              <w:t xml:space="preserve">Créer les pages Mentions Légales et CGV Pro (obligation légale) + ajouter certifications HACCP/hygiène</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b/>
                <w:bCs/>
                <w:color w:val="8C3A3A"/>
                <w:sz w:val="16"/>
                <w:szCs w:val="16"/>
              </w:rPr>
              <w:t xml:space="preserve">Critique</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color w:val="6B6560"/>
                <w:sz w:val="16"/>
                <w:szCs w:val="16"/>
              </w:rPr>
              <w:t xml:space="preserve">1 jour</w:t>
            </w:r>
          </w:p>
        </w:tc>
      </w:tr>
      <w:tr>
        <w:tc>
          <w:tcPr>
            <w:tcW w:type="dxa" w:w="600"/>
            <w:tcBorders>
              <w:top w:val="single" w:color="D9D0C7" w:sz="1"/>
              <w:left w:val="single" w:color="D9D0C7" w:sz="1"/>
              <w:bottom w:val="single" w:color="D9D0C7" w:sz="1"/>
              <w:right w:val="single" w:color="D9D0C7" w:sz="1"/>
            </w:tcBorders>
            <w:shd w:fill="A8895C"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3</w:t>
            </w:r>
          </w:p>
        </w:tc>
        <w:tc>
          <w:tcPr>
            <w:tcW w:type="dxa" w:w="536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r>
              <w:rPr>
                <w:rFonts w:ascii="Arial" w:cs="Arial" w:eastAsia="Arial" w:hAnsi="Arial"/>
                <w:color w:val="1A1714"/>
                <w:sz w:val="18"/>
                <w:szCs w:val="18"/>
              </w:rPr>
              <w:t xml:space="preserve">Ajouter des noms, visages et verbatims réels aux témoignages partenaires. Intégrer un lien vers chaque case study.</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b/>
                <w:bCs/>
                <w:color w:val="8C3A3A"/>
                <w:sz w:val="16"/>
                <w:szCs w:val="16"/>
              </w:rPr>
              <w:t xml:space="preserve">Critique</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color w:val="6B6560"/>
                <w:sz w:val="16"/>
                <w:szCs w:val="16"/>
              </w:rPr>
              <w:t xml:space="preserve">2 jours</w:t>
            </w:r>
          </w:p>
        </w:tc>
      </w:tr>
      <w:tr>
        <w:tc>
          <w:tcPr>
            <w:tcW w:type="dxa" w:w="600"/>
            <w:tcBorders>
              <w:top w:val="single" w:color="D9D0C7" w:sz="1"/>
              <w:left w:val="single" w:color="D9D0C7" w:sz="1"/>
              <w:bottom w:val="single" w:color="D9D0C7" w:sz="1"/>
              <w:right w:val="single" w:color="D9D0C7" w:sz="1"/>
            </w:tcBorders>
            <w:shd w:fill="A8895C"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4</w:t>
            </w:r>
          </w:p>
        </w:tc>
        <w:tc>
          <w:tcPr>
            <w:tcW w:type="dxa" w:w="536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r>
              <w:rPr>
                <w:rFonts w:ascii="Arial" w:cs="Arial" w:eastAsia="Arial" w:hAnsi="Arial"/>
                <w:color w:val="1A1714"/>
                <w:sz w:val="18"/>
                <w:szCs w:val="18"/>
              </w:rPr>
              <w:t xml:space="preserve">Exploiter le mot « Mirage » dans le copywriting hero : insérer une baseline narrative qui joue sur la dualité illusion/révélation.</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b/>
                <w:bCs/>
                <w:color w:val="A8895C"/>
                <w:sz w:val="16"/>
                <w:szCs w:val="16"/>
              </w:rPr>
              <w:t xml:space="preserve">Fort</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color w:val="6B6560"/>
                <w:sz w:val="16"/>
                <w:szCs w:val="16"/>
              </w:rPr>
              <w:t xml:space="preserve">2h</w:t>
            </w:r>
          </w:p>
        </w:tc>
      </w:tr>
      <w:tr>
        <w:tc>
          <w:tcPr>
            <w:tcW w:type="dxa" w:w="600"/>
            <w:tcBorders>
              <w:top w:val="single" w:color="D9D0C7" w:sz="1"/>
              <w:left w:val="single" w:color="D9D0C7" w:sz="1"/>
              <w:bottom w:val="single" w:color="D9D0C7" w:sz="1"/>
              <w:right w:val="single" w:color="D9D0C7" w:sz="1"/>
            </w:tcBorders>
            <w:shd w:fill="A8895C"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5</w:t>
            </w:r>
          </w:p>
        </w:tc>
        <w:tc>
          <w:tcPr>
            <w:tcW w:type="dxa" w:w="536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r>
              <w:rPr>
                <w:rFonts w:ascii="Arial" w:cs="Arial" w:eastAsia="Arial" w:hAnsi="Arial"/>
                <w:color w:val="1A1714"/>
                <w:sz w:val="18"/>
                <w:szCs w:val="18"/>
              </w:rPr>
              <w:t xml:space="preserve">Supprimer les inline styles du pricing grid, réduire le hero description à 25 mots max, et ajouter un aperçu visuel du PDF catalogue.</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b/>
                <w:bCs/>
                <w:color w:val="A8895C"/>
                <w:sz w:val="16"/>
                <w:szCs w:val="16"/>
              </w:rPr>
              <w:t xml:space="preserve">Fort</w:t>
            </w:r>
          </w:p>
        </w:tc>
        <w:tc>
          <w:tcPr>
            <w:tcW w:type="dxa" w:w="1700"/>
            <w:tcBorders>
              <w:top w:val="single" w:color="D9D0C7" w:sz="1"/>
              <w:left w:val="single" w:color="D9D0C7" w:sz="1"/>
              <w:bottom w:val="single" w:color="D9D0C7" w:sz="1"/>
              <w:right w:val="single" w:color="D9D0C7" w:sz="1"/>
            </w:tcBorders>
            <w:shd w:fill="FFFFFF" w:val="clear"/>
            <w:tcMar>
              <w:top w:type="dxa" w:w="80"/>
              <w:left w:type="dxa" w:w="120"/>
              <w:bottom w:type="dxa" w:w="80"/>
              <w:right w:type="dxa" w:w="120"/>
            </w:tcMar>
          </w:tcPr>
          <w:p>
            <w:pPr>
              <w:jc w:val="center"/>
            </w:pPr>
            <w:r>
              <w:rPr>
                <w:rFonts w:ascii="Arial" w:cs="Arial" w:eastAsia="Arial" w:hAnsi="Arial"/>
                <w:color w:val="6B6560"/>
                <w:sz w:val="16"/>
                <w:szCs w:val="16"/>
              </w:rPr>
              <w:t xml:space="preserve">1 jour</w:t>
            </w:r>
          </w:p>
        </w:tc>
      </w:tr>
    </w:tbl>
    <w:p>
      <w:pPr>
        <w:spacing w:after="300" w:before="300"/>
      </w:pPr>
    </w:p>
    <w:p>
      <w:pPr>
        <w:spacing w:after="120" w:before="280"/>
      </w:pPr>
      <w:r>
        <w:rPr>
          <w:rFonts w:ascii="Georgia" w:cs="Georgia" w:eastAsia="Georgia" w:hAnsi="Georgia"/>
          <w:b/>
          <w:bCs/>
          <w:i/>
          <w:iCs/>
          <w:color w:val="1A1714"/>
          <w:sz w:val="22"/>
          <w:szCs w:val="22"/>
        </w:rPr>
        <w:t xml:space="preserve">3 Recommandations stratégiques long terme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4"/>
              <w:left w:val="none"/>
              <w:bottom w:val="single" w:color="D9D0C7" w:sz="1"/>
              <w:right w:val="none"/>
            </w:tcBorders>
            <w:shd w:fill="FAF5EF" w:val="clear"/>
            <w:tcMar>
              <w:top w:type="dxa" w:w="200"/>
              <w:left w:type="dxa" w:w="300"/>
              <w:bottom w:type="dxa" w:w="200"/>
              <w:right w:type="dxa" w:w="300"/>
            </w:tcMar>
          </w:tcPr>
          <w:p>
            <w:pPr>
              <w:spacing w:after="80"/>
            </w:pPr>
            <w:r>
              <w:rPr>
                <w:rFonts w:ascii="Georgia" w:cs="Georgia" w:eastAsia="Georgia" w:hAnsi="Georgia"/>
                <w:b/>
                <w:bCs/>
                <w:color w:val="A8895C"/>
                <w:sz w:val="14"/>
                <w:szCs w:val="14"/>
              </w:rPr>
              <w:t xml:space="preserve">R1 </w:t>
            </w:r>
            <w:r>
              <w:rPr>
                <w:rFonts w:ascii="Georgia" w:cs="Georgia" w:eastAsia="Georgia" w:hAnsi="Georgia"/>
                <w:b/>
                <w:bCs/>
                <w:color w:val="1A1714"/>
                <w:sz w:val="20"/>
                <w:szCs w:val="20"/>
              </w:rPr>
              <w:t xml:space="preserve">CONFIGURATEUR B2B INTERACTIF</w:t>
            </w:r>
          </w:p>
          <w:p>
            <w:pPr>
              <w:spacing w:after="80"/>
            </w:pPr>
            <w:r>
              <w:rPr>
                <w:rFonts w:ascii="Arial" w:cs="Arial" w:eastAsia="Arial" w:hAnsi="Arial"/>
                <w:color w:val="1A1714"/>
                <w:sz w:val="18"/>
                <w:szCs w:val="18"/>
              </w:rPr>
              <w:t xml:space="preserve">Créer un outil de configuration de commande en ligne : sélection des pièces, quantités, fréquence de livraison, avec calcul de marge automatique pour le restaurateur. Cet outil servirait de « micro yes » dans le funnel (principe d’engagement progressif de Cialdini) et générerait des leads ultra-qualifiés. Benchmark : les configurateurs augmentent le taux de conversion B2B de 25 à 40%.</w:t>
            </w:r>
          </w:p>
          <w:p>
            <w:r>
              <w:rPr>
                <w:rFonts w:ascii="Arial" w:cs="Arial" w:eastAsia="Arial" w:hAnsi="Arial"/>
                <w:i/>
                <w:iCs/>
                <w:color w:val="A8895C"/>
                <w:sz w:val="16"/>
                <w:szCs w:val="16"/>
              </w:rPr>
              <w:t xml:space="preserve">Timeline : 4-6 semaines · Impact attendu : +30% leads qualifiés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4"/>
              <w:left w:val="none"/>
              <w:bottom w:val="single" w:color="D9D0C7" w:sz="1"/>
              <w:right w:val="none"/>
            </w:tcBorders>
            <w:shd w:fill="FAF5EF" w:val="clear"/>
            <w:tcMar>
              <w:top w:type="dxa" w:w="200"/>
              <w:left w:type="dxa" w:w="300"/>
              <w:bottom w:type="dxa" w:w="200"/>
              <w:right w:type="dxa" w:w="300"/>
            </w:tcMar>
          </w:tcPr>
          <w:p>
            <w:pPr>
              <w:spacing w:after="80"/>
            </w:pPr>
            <w:r>
              <w:rPr>
                <w:rFonts w:ascii="Georgia" w:cs="Georgia" w:eastAsia="Georgia" w:hAnsi="Georgia"/>
                <w:b/>
                <w:bCs/>
                <w:color w:val="A8895C"/>
                <w:sz w:val="14"/>
                <w:szCs w:val="14"/>
              </w:rPr>
              <w:t xml:space="preserve">R2 </w:t>
            </w:r>
            <w:r>
              <w:rPr>
                <w:rFonts w:ascii="Georgia" w:cs="Georgia" w:eastAsia="Georgia" w:hAnsi="Georgia"/>
                <w:b/>
                <w:bCs/>
                <w:color w:val="1A1714"/>
                <w:sz w:val="20"/>
                <w:szCs w:val="20"/>
              </w:rPr>
              <w:t xml:space="preserve">STRATÉGIE DE CONTENU « PROOF ENGINE »</w:t>
            </w:r>
          </w:p>
          <w:p>
            <w:pPr>
              <w:spacing w:after="80"/>
            </w:pPr>
            <w:r>
              <w:rPr>
                <w:rFonts w:ascii="Arial" w:cs="Arial" w:eastAsia="Arial" w:hAnsi="Arial"/>
                <w:color w:val="1A1714"/>
                <w:sz w:val="18"/>
                <w:szCs w:val="18"/>
              </w:rPr>
              <w:t xml:space="preserve">Déployer un système de preuves multi-niveaux : (1) Case studies vidéo avec ROI chiffré pour chaque partenaire clé ; (2) Dashboard temps réel affichant le nombre de pièces livrées et la satisfaction ; (3) Programme ambassadeur avec témoignages chefs nommés ; (4) Relations presse nationales ciblées (Le Fooding, Hospitality ON, Les Échos). L’objectif est de passer d’un site « joli » à un site « crédible ».</w:t>
            </w:r>
          </w:p>
          <w:p>
            <w:r>
              <w:rPr>
                <w:rFonts w:ascii="Arial" w:cs="Arial" w:eastAsia="Arial" w:hAnsi="Arial"/>
                <w:i/>
                <w:iCs/>
                <w:color w:val="A8895C"/>
                <w:sz w:val="16"/>
                <w:szCs w:val="16"/>
              </w:rPr>
              <w:t xml:space="preserve">Timeline : 2-3 mois · Impact attendu : +50% taux de conversion B2B</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895C" w:sz="4"/>
              <w:left w:val="none"/>
              <w:bottom w:val="single" w:color="D9D0C7" w:sz="1"/>
              <w:right w:val="none"/>
            </w:tcBorders>
            <w:shd w:fill="FAF5EF" w:val="clear"/>
            <w:tcMar>
              <w:top w:type="dxa" w:w="200"/>
              <w:left w:type="dxa" w:w="300"/>
              <w:bottom w:type="dxa" w:w="200"/>
              <w:right w:type="dxa" w:w="300"/>
            </w:tcMar>
          </w:tcPr>
          <w:p>
            <w:pPr>
              <w:spacing w:after="80"/>
            </w:pPr>
            <w:r>
              <w:rPr>
                <w:rFonts w:ascii="Georgia" w:cs="Georgia" w:eastAsia="Georgia" w:hAnsi="Georgia"/>
                <w:b/>
                <w:bCs/>
                <w:color w:val="A8895C"/>
                <w:sz w:val="14"/>
                <w:szCs w:val="14"/>
              </w:rPr>
              <w:t xml:space="preserve">R3 </w:t>
            </w:r>
            <w:r>
              <w:rPr>
                <w:rFonts w:ascii="Georgia" w:cs="Georgia" w:eastAsia="Georgia" w:hAnsi="Georgia"/>
                <w:b/>
                <w:bCs/>
                <w:color w:val="1A1714"/>
                <w:sz w:val="20"/>
                <w:szCs w:val="20"/>
              </w:rPr>
              <w:t xml:space="preserve">INTERNATIONALISATION &amp; SCALABILITÉ</w:t>
            </w:r>
          </w:p>
          <w:p>
            <w:pPr>
              <w:spacing w:after="80"/>
            </w:pPr>
            <w:r>
              <w:rPr>
                <w:rFonts w:ascii="Arial" w:cs="Arial" w:eastAsia="Arial" w:hAnsi="Arial"/>
                <w:color w:val="1A1714"/>
                <w:sz w:val="18"/>
                <w:szCs w:val="18"/>
              </w:rPr>
              <w:t xml:space="preserve">Préparer l’architecture pour une expansion au-delà de Marseille : (1) Version anglaise du site (hreflang, CMS headless type Sanity ou Strapi) ; (2) Système de commande en ligne avec paiement intégré (Stripe B2B) ; (3) Marketplace de créations sur-mesure ; (4) Hub logistique multi-villes avec tracking temps réel. Le modèle d’implantation kiosque (document Klépierre) montre l’ambition retail — le site doit être le miroir digital de cette ambition.</w:t>
            </w:r>
          </w:p>
          <w:p>
            <w:r>
              <w:rPr>
                <w:rFonts w:ascii="Arial" w:cs="Arial" w:eastAsia="Arial" w:hAnsi="Arial"/>
                <w:i/>
                <w:iCs/>
                <w:color w:val="A8895C"/>
                <w:sz w:val="16"/>
                <w:szCs w:val="16"/>
              </w:rPr>
              <w:t xml:space="preserve">Timeline : 6-12 mois · Impact attendu : Passage de marque locale à marque nationale</w:t>
            </w:r>
          </w:p>
        </w:tc>
      </w:tr>
    </w:tbl>
    <w:p>
      <w:pPr>
        <w:spacing w:after="300" w:before="300"/>
      </w:pPr>
    </w:p>
    <w:p>
      <w:pPr>
        <w:pBdr>
          <w:top w:val="single" w:color="A8895C" w:sz="2" w:space="12"/>
          <w:bottom w:val="single" w:color="A8895C" w:sz="2" w:space="12"/>
        </w:pBdr>
        <w:spacing w:after="200" w:before="200"/>
        <w:jc w:val="center"/>
      </w:pPr>
      <w:r>
        <w:rPr>
          <w:rFonts w:ascii="Georgia" w:cs="Georgia" w:eastAsia="Georgia" w:hAnsi="Georgia"/>
          <w:color w:val="A8895C"/>
          <w:sz w:val="14"/>
          <w:szCs w:val="14"/>
        </w:rPr>
        <w:t xml:space="preserve">CONCLUSION</w:t>
      </w:r>
    </w:p>
    <w:p>
      <w:pPr>
        <w:spacing w:after="60" w:before="60"/>
      </w:pPr>
      <w:r>
        <w:rPr>
          <w:rFonts w:ascii="Arial" w:cs="Arial" w:eastAsia="Arial" w:hAnsi="Arial"/>
          <w:color w:val="1A1714"/>
          <w:sz w:val="20"/>
          <w:szCs w:val="20"/>
        </w:rPr>
        <w:t xml:space="preserve">Maison Mirage dispose d’un site dont le Design System et la direction artistique sont d’un niveau comparable aux meilleures maisons de luxe digitales. Le travail réalisé sur la cohérence typographique, le système de tokens et l’expérience de navigation est remarquable.</w:t>
      </w:r>
    </w:p>
    <w:p>
      <w:pPr>
        <w:spacing w:after="60" w:before="60"/>
      </w:pPr>
    </w:p>
    <w:p>
      <w:pPr>
        <w:spacing w:after="60" w:before="60"/>
      </w:pPr>
      <w:r>
        <w:rPr>
          <w:rFonts w:ascii="Arial" w:cs="Arial" w:eastAsia="Arial" w:hAnsi="Arial"/>
          <w:color w:val="1A1714"/>
          <w:sz w:val="20"/>
          <w:szCs w:val="20"/>
        </w:rPr>
        <w:t xml:space="preserve">Cependant, le site souffre d’un déséquilibre classique des jeunes marques : il séduit l’œil sans convaincre l’esprit analytique de l’acheteur B2B. Les preuves sociales sont superficielles, les garanties contractuelles absentes, et le capital narratif de la marque (le mot « Mirage » lui-même) est sous-exploité.</w:t>
      </w:r>
    </w:p>
    <w:p>
      <w:pPr>
        <w:spacing w:after="60" w:before="60"/>
      </w:pPr>
    </w:p>
    <w:p>
      <w:pPr>
        <w:spacing w:after="60" w:before="60"/>
      </w:pPr>
      <w:r>
        <w:rPr>
          <w:rFonts w:ascii="Arial" w:cs="Arial" w:eastAsia="Arial" w:hAnsi="Arial"/>
          <w:color w:val="1A1714"/>
          <w:sz w:val="20"/>
          <w:szCs w:val="20"/>
        </w:rPr>
        <w:t xml:space="preserve">La bonne nouvelle : les fondations sont là. Le passage de 72/100 à 90+ ne demande pas une refonte, mais un travail ciblé sur la couche de persuasion marketing et les éléments de réassurance professionnelle. Les 5 quick wins identifiés peuvent être implémentés en une semaine et auront un impact mesurable immédiat sur le taux de conversion.</w:t>
      </w:r>
    </w:p>
    <w:p>
      <w:pPr>
        <w:spacing w:after="60" w:before="60"/>
      </w:pPr>
    </w:p>
    <w:p>
      <w:pPr>
        <w:spacing w:before="200"/>
        <w:jc w:val="center"/>
      </w:pPr>
      <w:r>
        <w:rPr>
          <w:rFonts w:ascii="Georgia" w:cs="Georgia" w:eastAsia="Georgia" w:hAnsi="Georgia"/>
          <w:i/>
          <w:iCs/>
          <w:color w:val="6B6560"/>
          <w:sz w:val="18"/>
          <w:szCs w:val="18"/>
        </w:rPr>
        <w:t xml:space="preserve">— Fin du rapport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4"/>
        <w:szCs w:val="14"/>
      </w:rPr>
      <w:t xml:space="preserve">Page </w:t>
    </w:r>
    <w:r>
      <w:rPr>
        <w:rFonts w:ascii="Arial" w:cs="Arial" w:eastAsia="Arial" w:hAnsi="Arial"/>
        <w:color w:val="6B65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B8" w:sz="1" w:space="4"/>
      </w:pBdr>
      <w:tabs>
        <w:tab w:val="right" w:pos="9026"/>
      </w:tabs>
    </w:pPr>
    <w:r>
      <w:rPr>
        <w:rFonts w:ascii="Georgia" w:cs="Georgia" w:eastAsia="Georgia" w:hAnsi="Georgia"/>
        <w:color w:val="A8895C"/>
        <w:sz w:val="14"/>
        <w:szCs w:val="14"/>
      </w:rPr>
      <w:t xml:space="preserve">MAISON MIRAGE</w:t>
    </w:r>
    <w:r>
      <w:rPr>
        <w:rFonts w:ascii="Arial" w:cs="Arial" w:eastAsia="Arial" w:hAnsi="Arial"/>
        <w:color w:val="6B6560"/>
        <w:sz w:val="14"/>
        <w:szCs w:val="14"/>
      </w:rPr>
      <w:t xml:space="preserve">		Audit 360°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color w:val="1A1714"/>
      <w:sz w:val="32"/>
      <w:szCs w:val="32"/>
    </w:rPr>
  </w:style>
  <w:style w:type="paragraph" w:styleId="Heading2">
    <w:name w:val="Heading 2"/>
    <w:basedOn w:val="Normal"/>
    <w:next w:val="Normal"/>
    <w:qFormat/>
    <w:pPr>
      <w:spacing w:after="160" w:before="200"/>
      <w:outlineLvl w:val="1"/>
    </w:pPr>
    <w:rPr>
      <w:rFonts w:ascii="Georgia" w:cs="Georgia" w:eastAsia="Georgia" w:hAnsi="Georgia"/>
      <w:b/>
      <w:bCs/>
      <w:color w:val="A889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2026-03-11T18:57:05.930Z</dcterms:created>
  <dcterms:modified xsi:type="dcterms:W3CDTF">2026-03-11T18:57:05.930Z</dcterms:modified>
</cp:coreProperties>
</file>

<file path=docProps/custom.xml><?xml version="1.0" encoding="utf-8"?>
<Properties xmlns="http://schemas.openxmlformats.org/officeDocument/2006/custom-properties" xmlns:vt="http://schemas.openxmlformats.org/officeDocument/2006/docPropsVTypes"/>
</file>