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A8895C"/>
          <w:sz w:val="20"/>
          <w:szCs w:val="20"/>
        </w:rPr>
        <w:t xml:space="preserve">AUDIT 360°</w:t>
      </w:r>
    </w:p>
    <w:p>
      <w:pPr>
        <w:pBdr>
          <w:bottom w:val="single" w:color="A8895C" w:sz="6"/>
        </w:pBdr>
        <w:spacing w:after="400"/>
        <w:jc w:val="center"/>
      </w:pPr>
      <w:r>
        <w:rPr>
          <w:rFonts w:ascii="Arial" w:cs="Arial" w:eastAsia="Arial" w:hAnsi="Arial"/>
          <w:b/>
          <w:bCs/>
          <w:color w:val="1A1714"/>
          <w:sz w:val="56"/>
          <w:szCs w:val="56"/>
        </w:rPr>
        <w:t xml:space="preserve">MAISON MIRAGE</w:t>
      </w:r>
    </w:p>
    <w:p>
      <w:pPr>
        <w:spacing w:after="100"/>
        <w:jc w:val="center"/>
      </w:pPr>
      <w:r>
        <w:rPr>
          <w:rFonts w:ascii="Arial" w:cs="Arial" w:eastAsia="Arial" w:hAnsi="Arial"/>
          <w:i/>
          <w:iCs/>
          <w:color w:val="A8895C"/>
          <w:sz w:val="24"/>
          <w:szCs w:val="24"/>
        </w:rPr>
        <w:t xml:space="preserve">lamaisonmirage.com</w:t>
      </w:r>
    </w:p>
    <w:p>
      <w:pPr>
        <w:spacing w:after="600"/>
        <w:jc w:val="center"/>
      </w:pPr>
      <w:r>
        <w:rPr>
          <w:rFonts w:ascii="Arial" w:cs="Arial" w:eastAsia="Arial" w:hAnsi="Arial"/>
          <w:color w:val="6B6560"/>
          <w:sz w:val="20"/>
          <w:szCs w:val="20"/>
        </w:rPr>
        <w:t xml:space="preserve">Design System · UX/UI · CRO · Marketing · Technique</w:t>
      </w:r>
    </w:p>
    <w:p>
      <w:pPr>
        <w:spacing w:after="1200"/>
      </w:pPr>
    </w:p>
    <w:p>
      <w:pPr>
        <w:spacing w:after="100"/>
        <w:jc w:val="center"/>
      </w:pPr>
      <w:r>
        <w:rPr>
          <w:rFonts w:ascii="Arial" w:cs="Arial" w:eastAsia="Arial" w:hAnsi="Arial"/>
          <w:color w:val="6B6560"/>
          <w:sz w:val="22"/>
          <w:szCs w:val="22"/>
        </w:rPr>
        <w:t xml:space="preserve">15 mars 2026</w:t>
      </w:r>
    </w:p>
    <w:p>
      <w:pPr>
        <w:spacing w:after="80"/>
        <w:jc w:val="center"/>
      </w:pPr>
      <w:r>
        <w:rPr>
          <w:rFonts w:ascii="Arial" w:cs="Arial" w:eastAsia="Arial" w:hAnsi="Arial"/>
          <w:b/>
          <w:bCs/>
          <w:color w:val="8C3A3A"/>
          <w:sz w:val="20"/>
          <w:szCs w:val="20"/>
        </w:rPr>
        <w:t xml:space="preserve">Rapport indépendant — Sans complaisance</w:t>
      </w:r>
    </w:p>
    <w:p>
      <w:pPr>
        <w:jc w:val="center"/>
      </w:pPr>
      <w:r>
        <w:rPr>
          <w:rFonts w:ascii="Arial" w:cs="Arial" w:eastAsia="Arial" w:hAnsi="Arial"/>
          <w:color w:val="6B6560"/>
          <w:sz w:val="20"/>
          <w:szCs w:val="20"/>
        </w:rPr>
        <w:t xml:space="preserve">Pour Karim Farid — Usage interne</w:t>
      </w:r>
    </w:p>
    <w:p>
      <w:pPr>
        <w:sectPr>
          <w:pgSz w:w="12240" w:h="15840" w:orient="portrait"/>
          <w:pgMar w:top="1440" w:right="1440" w:bottom="1440" w:left="1440" w:header="708" w:footer="708" w:gutter="0"/>
          <w:pgNumType/>
          <w:docGrid w:linePitch="360"/>
        </w:sectPr>
      </w:pPr>
    </w:p>
    <w:p>
      <w:pPr>
        <w:pStyle w:val="Heading1"/>
      </w:pPr>
      <w:r>
        <w:t xml:space="preserve">VERDICT EXÉCUTIF</w:t>
      </w:r>
    </w:p>
    <w:p>
      <w:pPr>
        <w:spacing w:after="160" w:line="320"/>
      </w:pPr>
      <w:r>
        <w:rPr>
          <w:rFonts w:ascii="Arial" w:cs="Arial" w:eastAsia="Arial" w:hAnsi="Arial"/>
          <w:color w:val="1A1714"/>
          <w:sz w:val="22"/>
          <w:szCs w:val="22"/>
        </w:rPr>
        <w:t xml:space="preserve">Ce rapport est un diagnostic sans complaisance. Le site lamaisonmirage.com est analysé selon 5 axes : proposition de valeur, UX/ergonomie, UI/branding, marketing/psychologie, et technique/mobile. Chaque section se conclut par un verdict littéral (A à D) et des recommandations opérationnelles.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c>
          <w:tcPr>
            <w:tcW w:type="dxa" w:w="4680"/>
            <w:tcBorders>
              <w:top w:val="single" w:color="D9D4CE" w:sz="1"/>
              <w:left w:val="single" w:color="D9D4CE" w:sz="1"/>
              <w:bottom w:val="single" w:color="D9D4CE" w:sz="1"/>
              <w:right w:val="single" w:color="D9D4CE" w:sz="1"/>
            </w:tcBorders>
            <w:shd w:fill="1A1714" w:val="clear"/>
            <w:tcMar>
              <w:top w:type="dxa" w:w="80"/>
              <w:left w:type="dxa" w:w="120"/>
              <w:bottom w:type="dxa" w:w="80"/>
              <w:right w:type="dxa" w:w="120"/>
            </w:tcMar>
          </w:tcPr>
          <w:p>
            <w:r>
              <w:rPr>
                <w:rFonts w:ascii="Arial" w:cs="Arial" w:eastAsia="Arial" w:hAnsi="Arial"/>
                <w:b/>
                <w:bCs/>
                <w:color w:val="FFFFFF"/>
                <w:sz w:val="20"/>
                <w:szCs w:val="20"/>
              </w:rPr>
              <w:t xml:space="preserve">AXE D’AUDIT</w:t>
            </w:r>
          </w:p>
        </w:tc>
        <w:tc>
          <w:tcPr>
            <w:tcW w:type="dxa" w:w="1560"/>
            <w:tcBorders>
              <w:top w:val="single" w:color="D9D4CE" w:sz="1"/>
              <w:left w:val="single" w:color="D9D4CE" w:sz="1"/>
              <w:bottom w:val="single" w:color="D9D4CE" w:sz="1"/>
              <w:right w:val="single" w:color="D9D4CE" w:sz="1"/>
            </w:tcBorders>
            <w:shd w:fill="1A171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w:t>
            </w:r>
          </w:p>
        </w:tc>
        <w:tc>
          <w:tcPr>
            <w:tcW w:type="dxa" w:w="3120"/>
            <w:tcBorders>
              <w:top w:val="single" w:color="D9D4CE" w:sz="1"/>
              <w:left w:val="single" w:color="D9D4CE" w:sz="1"/>
              <w:bottom w:val="single" w:color="D9D4CE" w:sz="1"/>
              <w:right w:val="single" w:color="D9D4CE" w:sz="1"/>
            </w:tcBorders>
            <w:shd w:fill="1A1714"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4680"/>
            <w:tcBorders>
              <w:top w:val="single" w:color="D9D4CE" w:sz="1"/>
              <w:left w:val="single" w:color="D9D4CE" w:sz="1"/>
              <w:bottom w:val="single" w:color="D9D4CE" w:sz="1"/>
              <w:right w:val="single" w:color="D9D4CE"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1. Proposition de Valeur</w:t>
            </w:r>
          </w:p>
        </w:tc>
        <w:tc>
          <w:tcPr>
            <w:tcW w:type="dxa" w:w="1560"/>
            <w:tcBorders>
              <w:top w:val="single" w:color="D9D4CE" w:sz="1"/>
              <w:left w:val="single" w:color="D9D4CE" w:sz="1"/>
              <w:bottom w:val="single" w:color="D9D4CE" w:sz="1"/>
              <w:right w:val="single" w:color="D9D4CE" w:sz="1"/>
            </w:tcBorders>
            <w:shd w:fill="FFFFFF" w:val="clear"/>
            <w:tcMar>
              <w:top w:type="dxa" w:w="80"/>
              <w:left w:type="dxa" w:w="120"/>
              <w:bottom w:type="dxa" w:w="80"/>
              <w:right w:type="dxa" w:w="120"/>
            </w:tcMar>
          </w:tcPr>
          <w:p>
            <w:pPr>
              <w:jc w:val="center"/>
            </w:pPr>
            <w:r>
              <w:rPr>
                <w:rFonts w:ascii="Arial" w:cs="Arial" w:eastAsia="Arial" w:hAnsi="Arial"/>
                <w:b/>
                <w:bCs/>
                <w:color w:val="A8895C"/>
                <w:sz w:val="22"/>
                <w:szCs w:val="22"/>
              </w:rPr>
              <w:t xml:space="preserve">B+</w:t>
            </w:r>
          </w:p>
        </w:tc>
        <w:tc>
          <w:tcPr>
            <w:tcW w:type="dxa" w:w="3120"/>
            <w:tcBorders>
              <w:top w:val="single" w:color="D9D4CE" w:sz="1"/>
              <w:left w:val="single" w:color="D9D4CE" w:sz="1"/>
              <w:bottom w:val="single" w:color="D9D4CE" w:sz="1"/>
              <w:right w:val="single" w:color="D9D4CE" w:sz="1"/>
            </w:tcBorders>
            <w:shd w:fill="FFFFFF" w:val="clear"/>
            <w:tcMar>
              <w:top w:type="dxa" w:w="80"/>
              <w:left w:type="dxa" w:w="120"/>
              <w:bottom w:type="dxa" w:w="80"/>
              <w:right w:type="dxa" w:w="120"/>
            </w:tcMar>
          </w:tcPr>
          <w:p>
            <w:r>
              <w:rPr>
                <w:rFonts w:ascii="Arial" w:cs="Arial" w:eastAsia="Arial" w:hAnsi="Arial"/>
                <w:color w:val="6B6560"/>
                <w:sz w:val="20"/>
                <w:szCs w:val="20"/>
              </w:rPr>
              <w:t xml:space="preserve">Promesse claire mais sous-exploitée</w:t>
            </w:r>
          </w:p>
        </w:tc>
      </w:tr>
      <w:tr>
        <w:tc>
          <w:tcPr>
            <w:tcW w:type="dxa" w:w="4680"/>
            <w:tcBorders>
              <w:top w:val="single" w:color="D9D4CE" w:sz="1"/>
              <w:left w:val="single" w:color="D9D4CE" w:sz="1"/>
              <w:bottom w:val="single" w:color="D9D4CE" w:sz="1"/>
              <w:right w:val="single" w:color="D9D4CE" w:sz="1"/>
            </w:tcBorders>
            <w:shd w:fill="F7F3EE" w:val="clear"/>
            <w:tcMar>
              <w:top w:type="dxa" w:w="80"/>
              <w:left w:type="dxa" w:w="120"/>
              <w:bottom w:type="dxa" w:w="80"/>
              <w:right w:type="dxa" w:w="120"/>
            </w:tcMar>
          </w:tcPr>
          <w:p>
            <w:r>
              <w:rPr>
                <w:rFonts w:ascii="Arial" w:cs="Arial" w:eastAsia="Arial" w:hAnsi="Arial"/>
                <w:b w:val="false"/>
                <w:bCs w:val="false"/>
                <w:color w:val="1A1714"/>
                <w:sz w:val="20"/>
                <w:szCs w:val="20"/>
              </w:rPr>
              <w:t xml:space="preserve">2. UX &amp; Ergonomie</w:t>
            </w:r>
          </w:p>
        </w:tc>
        <w:tc>
          <w:tcPr>
            <w:tcW w:type="dxa" w:w="1560"/>
            <w:tcBorders>
              <w:top w:val="single" w:color="D9D4CE" w:sz="1"/>
              <w:left w:val="single" w:color="D9D4CE" w:sz="1"/>
              <w:bottom w:val="single" w:color="D9D4CE" w:sz="1"/>
              <w:right w:val="single" w:color="D9D4CE" w:sz="1"/>
            </w:tcBorders>
            <w:shd w:fill="F7F3EE" w:val="clear"/>
            <w:tcMar>
              <w:top w:type="dxa" w:w="80"/>
              <w:left w:type="dxa" w:w="120"/>
              <w:bottom w:type="dxa" w:w="80"/>
              <w:right w:type="dxa" w:w="120"/>
            </w:tcMar>
          </w:tcPr>
          <w:p>
            <w:pPr>
              <w:jc w:val="center"/>
            </w:pPr>
            <w:r>
              <w:rPr>
                <w:rFonts w:ascii="Arial" w:cs="Arial" w:eastAsia="Arial" w:hAnsi="Arial"/>
                <w:b/>
                <w:bCs/>
                <w:color w:val="A8895C"/>
                <w:sz w:val="22"/>
                <w:szCs w:val="22"/>
              </w:rPr>
              <w:t xml:space="preserve">B</w:t>
            </w:r>
          </w:p>
        </w:tc>
        <w:tc>
          <w:tcPr>
            <w:tcW w:type="dxa" w:w="3120"/>
            <w:tcBorders>
              <w:top w:val="single" w:color="D9D4CE" w:sz="1"/>
              <w:left w:val="single" w:color="D9D4CE" w:sz="1"/>
              <w:bottom w:val="single" w:color="D9D4CE" w:sz="1"/>
              <w:right w:val="single" w:color="D9D4CE" w:sz="1"/>
            </w:tcBorders>
            <w:shd w:fill="F7F3EE" w:val="clear"/>
            <w:tcMar>
              <w:top w:type="dxa" w:w="80"/>
              <w:left w:type="dxa" w:w="120"/>
              <w:bottom w:type="dxa" w:w="80"/>
              <w:right w:type="dxa" w:w="120"/>
            </w:tcMar>
          </w:tcPr>
          <w:p>
            <w:r>
              <w:rPr>
                <w:rFonts w:ascii="Arial" w:cs="Arial" w:eastAsia="Arial" w:hAnsi="Arial"/>
                <w:color w:val="6B6560"/>
                <w:sz w:val="20"/>
                <w:szCs w:val="20"/>
              </w:rPr>
              <w:t xml:space="preserve">Parcours fluide, friction résiduelle</w:t>
            </w:r>
          </w:p>
        </w:tc>
      </w:tr>
      <w:tr>
        <w:tc>
          <w:tcPr>
            <w:tcW w:type="dxa" w:w="4680"/>
            <w:tcBorders>
              <w:top w:val="single" w:color="D9D4CE" w:sz="1"/>
              <w:left w:val="single" w:color="D9D4CE" w:sz="1"/>
              <w:bottom w:val="single" w:color="D9D4CE" w:sz="1"/>
              <w:right w:val="single" w:color="D9D4CE"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3. UI &amp; Branding</w:t>
            </w:r>
          </w:p>
        </w:tc>
        <w:tc>
          <w:tcPr>
            <w:tcW w:type="dxa" w:w="1560"/>
            <w:tcBorders>
              <w:top w:val="single" w:color="D9D4CE" w:sz="1"/>
              <w:left w:val="single" w:color="D9D4CE" w:sz="1"/>
              <w:bottom w:val="single" w:color="D9D4CE" w:sz="1"/>
              <w:right w:val="single" w:color="D9D4CE" w:sz="1"/>
            </w:tcBorders>
            <w:shd w:fill="FFFFFF" w:val="clear"/>
            <w:tcMar>
              <w:top w:type="dxa" w:w="80"/>
              <w:left w:type="dxa" w:w="120"/>
              <w:bottom w:type="dxa" w:w="80"/>
              <w:right w:type="dxa" w:w="120"/>
            </w:tcMar>
          </w:tcPr>
          <w:p>
            <w:pPr>
              <w:jc w:val="center"/>
            </w:pPr>
            <w:r>
              <w:rPr>
                <w:rFonts w:ascii="Arial" w:cs="Arial" w:eastAsia="Arial" w:hAnsi="Arial"/>
                <w:b/>
                <w:bCs/>
                <w:color w:val="A8895C"/>
                <w:sz w:val="22"/>
                <w:szCs w:val="22"/>
              </w:rPr>
              <w:t xml:space="preserve">A–</w:t>
            </w:r>
          </w:p>
        </w:tc>
        <w:tc>
          <w:tcPr>
            <w:tcW w:type="dxa" w:w="3120"/>
            <w:tcBorders>
              <w:top w:val="single" w:color="D9D4CE" w:sz="1"/>
              <w:left w:val="single" w:color="D9D4CE" w:sz="1"/>
              <w:bottom w:val="single" w:color="D9D4CE" w:sz="1"/>
              <w:right w:val="single" w:color="D9D4CE" w:sz="1"/>
            </w:tcBorders>
            <w:shd w:fill="FFFFFF" w:val="clear"/>
            <w:tcMar>
              <w:top w:type="dxa" w:w="80"/>
              <w:left w:type="dxa" w:w="120"/>
              <w:bottom w:type="dxa" w:w="80"/>
              <w:right w:type="dxa" w:w="120"/>
            </w:tcMar>
          </w:tcPr>
          <w:p>
            <w:r>
              <w:rPr>
                <w:rFonts w:ascii="Arial" w:cs="Arial" w:eastAsia="Arial" w:hAnsi="Arial"/>
                <w:color w:val="6B6560"/>
                <w:sz w:val="20"/>
                <w:szCs w:val="20"/>
              </w:rPr>
              <w:t xml:space="preserve">Direction artistique de haut vol</w:t>
            </w:r>
          </w:p>
        </w:tc>
      </w:tr>
      <w:tr>
        <w:tc>
          <w:tcPr>
            <w:tcW w:type="dxa" w:w="4680"/>
            <w:tcBorders>
              <w:top w:val="single" w:color="D9D4CE" w:sz="1"/>
              <w:left w:val="single" w:color="D9D4CE" w:sz="1"/>
              <w:bottom w:val="single" w:color="D9D4CE" w:sz="1"/>
              <w:right w:val="single" w:color="D9D4CE" w:sz="1"/>
            </w:tcBorders>
            <w:shd w:fill="F7F3EE" w:val="clear"/>
            <w:tcMar>
              <w:top w:type="dxa" w:w="80"/>
              <w:left w:type="dxa" w:w="120"/>
              <w:bottom w:type="dxa" w:w="80"/>
              <w:right w:type="dxa" w:w="120"/>
            </w:tcMar>
          </w:tcPr>
          <w:p>
            <w:r>
              <w:rPr>
                <w:rFonts w:ascii="Arial" w:cs="Arial" w:eastAsia="Arial" w:hAnsi="Arial"/>
                <w:b w:val="false"/>
                <w:bCs w:val="false"/>
                <w:color w:val="1A1714"/>
                <w:sz w:val="20"/>
                <w:szCs w:val="20"/>
              </w:rPr>
              <w:t xml:space="preserve">4. Marketing &amp; Psychologie</w:t>
            </w:r>
          </w:p>
        </w:tc>
        <w:tc>
          <w:tcPr>
            <w:tcW w:type="dxa" w:w="1560"/>
            <w:tcBorders>
              <w:top w:val="single" w:color="D9D4CE" w:sz="1"/>
              <w:left w:val="single" w:color="D9D4CE" w:sz="1"/>
              <w:bottom w:val="single" w:color="D9D4CE" w:sz="1"/>
              <w:right w:val="single" w:color="D9D4CE" w:sz="1"/>
            </w:tcBorders>
            <w:shd w:fill="F7F3EE" w:val="clear"/>
            <w:tcMar>
              <w:top w:type="dxa" w:w="80"/>
              <w:left w:type="dxa" w:w="120"/>
              <w:bottom w:type="dxa" w:w="80"/>
              <w:right w:type="dxa" w:w="120"/>
            </w:tcMar>
          </w:tcPr>
          <w:p>
            <w:pPr>
              <w:jc w:val="center"/>
            </w:pPr>
            <w:r>
              <w:rPr>
                <w:rFonts w:ascii="Arial" w:cs="Arial" w:eastAsia="Arial" w:hAnsi="Arial"/>
                <w:b/>
                <w:bCs/>
                <w:color w:val="A8895C"/>
                <w:sz w:val="22"/>
                <w:szCs w:val="22"/>
              </w:rPr>
              <w:t xml:space="preserve">B–</w:t>
            </w:r>
          </w:p>
        </w:tc>
        <w:tc>
          <w:tcPr>
            <w:tcW w:type="dxa" w:w="3120"/>
            <w:tcBorders>
              <w:top w:val="single" w:color="D9D4CE" w:sz="1"/>
              <w:left w:val="single" w:color="D9D4CE" w:sz="1"/>
              <w:bottom w:val="single" w:color="D9D4CE" w:sz="1"/>
              <w:right w:val="single" w:color="D9D4CE" w:sz="1"/>
            </w:tcBorders>
            <w:shd w:fill="F7F3EE" w:val="clear"/>
            <w:tcMar>
              <w:top w:type="dxa" w:w="80"/>
              <w:left w:type="dxa" w:w="120"/>
              <w:bottom w:type="dxa" w:w="80"/>
              <w:right w:type="dxa" w:w="120"/>
            </w:tcMar>
          </w:tcPr>
          <w:p>
            <w:r>
              <w:rPr>
                <w:rFonts w:ascii="Arial" w:cs="Arial" w:eastAsia="Arial" w:hAnsi="Arial"/>
                <w:color w:val="6B6560"/>
                <w:sz w:val="20"/>
                <w:szCs w:val="20"/>
              </w:rPr>
              <w:t xml:space="preserve">Leviers présents mais timides</w:t>
            </w:r>
          </w:p>
        </w:tc>
      </w:tr>
      <w:tr>
        <w:tc>
          <w:tcPr>
            <w:tcW w:type="dxa" w:w="4680"/>
            <w:tcBorders>
              <w:top w:val="single" w:color="D9D4CE" w:sz="1"/>
              <w:left w:val="single" w:color="D9D4CE" w:sz="1"/>
              <w:bottom w:val="single" w:color="D9D4CE" w:sz="1"/>
              <w:right w:val="single" w:color="D9D4CE" w:sz="1"/>
            </w:tcBorders>
            <w:shd w:fill="FFFFFF" w:val="clear"/>
            <w:tcMar>
              <w:top w:type="dxa" w:w="80"/>
              <w:left w:type="dxa" w:w="120"/>
              <w:bottom w:type="dxa" w:w="80"/>
              <w:right w:type="dxa" w:w="120"/>
            </w:tcMar>
          </w:tcPr>
          <w:p>
            <w:r>
              <w:rPr>
                <w:rFonts w:ascii="Arial" w:cs="Arial" w:eastAsia="Arial" w:hAnsi="Arial"/>
                <w:b w:val="false"/>
                <w:bCs w:val="false"/>
                <w:color w:val="1A1714"/>
                <w:sz w:val="20"/>
                <w:szCs w:val="20"/>
              </w:rPr>
              <w:t xml:space="preserve">5. Technique &amp; Mobile</w:t>
            </w:r>
          </w:p>
        </w:tc>
        <w:tc>
          <w:tcPr>
            <w:tcW w:type="dxa" w:w="1560"/>
            <w:tcBorders>
              <w:top w:val="single" w:color="D9D4CE" w:sz="1"/>
              <w:left w:val="single" w:color="D9D4CE" w:sz="1"/>
              <w:bottom w:val="single" w:color="D9D4CE" w:sz="1"/>
              <w:right w:val="single" w:color="D9D4CE" w:sz="1"/>
            </w:tcBorders>
            <w:shd w:fill="FFFFFF" w:val="clear"/>
            <w:tcMar>
              <w:top w:type="dxa" w:w="80"/>
              <w:left w:type="dxa" w:w="120"/>
              <w:bottom w:type="dxa" w:w="80"/>
              <w:right w:type="dxa" w:w="120"/>
            </w:tcMar>
          </w:tcPr>
          <w:p>
            <w:pPr>
              <w:jc w:val="center"/>
            </w:pPr>
            <w:r>
              <w:rPr>
                <w:rFonts w:ascii="Arial" w:cs="Arial" w:eastAsia="Arial" w:hAnsi="Arial"/>
                <w:b/>
                <w:bCs/>
                <w:color w:val="A8895C"/>
                <w:sz w:val="22"/>
                <w:szCs w:val="22"/>
              </w:rPr>
              <w:t xml:space="preserve">B</w:t>
            </w:r>
          </w:p>
        </w:tc>
        <w:tc>
          <w:tcPr>
            <w:tcW w:type="dxa" w:w="3120"/>
            <w:tcBorders>
              <w:top w:val="single" w:color="D9D4CE" w:sz="1"/>
              <w:left w:val="single" w:color="D9D4CE" w:sz="1"/>
              <w:bottom w:val="single" w:color="D9D4CE" w:sz="1"/>
              <w:right w:val="single" w:color="D9D4CE" w:sz="1"/>
            </w:tcBorders>
            <w:shd w:fill="FFFFFF" w:val="clear"/>
            <w:tcMar>
              <w:top w:type="dxa" w:w="80"/>
              <w:left w:type="dxa" w:w="120"/>
              <w:bottom w:type="dxa" w:w="80"/>
              <w:right w:type="dxa" w:w="120"/>
            </w:tcMar>
          </w:tcPr>
          <w:p>
            <w:r>
              <w:rPr>
                <w:rFonts w:ascii="Arial" w:cs="Arial" w:eastAsia="Arial" w:hAnsi="Arial"/>
                <w:color w:val="6B6560"/>
                <w:sz w:val="20"/>
                <w:szCs w:val="20"/>
              </w:rPr>
              <w:t xml:space="preserve">Solide, optimisations nécessaires</w:t>
            </w:r>
          </w:p>
        </w:tc>
      </w:tr>
      <w:tr>
        <w:tc>
          <w:tcPr>
            <w:tcW w:type="dxa" w:w="4680"/>
            <w:tcBorders>
              <w:top w:val="single" w:color="D9D4CE" w:sz="1"/>
              <w:left w:val="single" w:color="D9D4CE" w:sz="1"/>
              <w:bottom w:val="single" w:color="D9D4CE" w:sz="1"/>
              <w:right w:val="single" w:color="D9D4CE" w:sz="1"/>
            </w:tcBorders>
            <w:shd w:fill="E8D5B8" w:val="clear"/>
            <w:tcMar>
              <w:top w:type="dxa" w:w="80"/>
              <w:left w:type="dxa" w:w="120"/>
              <w:bottom w:type="dxa" w:w="80"/>
              <w:right w:type="dxa" w:w="120"/>
            </w:tcMar>
          </w:tcPr>
          <w:p>
            <w:r>
              <w:rPr>
                <w:rFonts w:ascii="Arial" w:cs="Arial" w:eastAsia="Arial" w:hAnsi="Arial"/>
                <w:b/>
                <w:bCs/>
                <w:color w:val="1A1714"/>
                <w:sz w:val="20"/>
                <w:szCs w:val="20"/>
              </w:rPr>
              <w:t xml:space="preserve">GLOBAL</w:t>
            </w:r>
          </w:p>
        </w:tc>
        <w:tc>
          <w:tcPr>
            <w:tcW w:type="dxa" w:w="1560"/>
            <w:tcBorders>
              <w:top w:val="single" w:color="D9D4CE" w:sz="1"/>
              <w:left w:val="single" w:color="D9D4CE" w:sz="1"/>
              <w:bottom w:val="single" w:color="D9D4CE" w:sz="1"/>
              <w:right w:val="single" w:color="D9D4CE" w:sz="1"/>
            </w:tcBorders>
            <w:shd w:fill="E8D5B8" w:val="clear"/>
            <w:tcMar>
              <w:top w:type="dxa" w:w="80"/>
              <w:left w:type="dxa" w:w="120"/>
              <w:bottom w:type="dxa" w:w="80"/>
              <w:right w:type="dxa" w:w="120"/>
            </w:tcMar>
          </w:tcPr>
          <w:p>
            <w:pPr>
              <w:jc w:val="center"/>
            </w:pPr>
            <w:r>
              <w:rPr>
                <w:rFonts w:ascii="Arial" w:cs="Arial" w:eastAsia="Arial" w:hAnsi="Arial"/>
                <w:b/>
                <w:bCs/>
                <w:color w:val="A8895C"/>
                <w:sz w:val="22"/>
                <w:szCs w:val="22"/>
              </w:rPr>
              <w:t xml:space="preserve">B+</w:t>
            </w:r>
          </w:p>
        </w:tc>
        <w:tc>
          <w:tcPr>
            <w:tcW w:type="dxa" w:w="3120"/>
            <w:tcBorders>
              <w:top w:val="single" w:color="D9D4CE" w:sz="1"/>
              <w:left w:val="single" w:color="D9D4CE" w:sz="1"/>
              <w:bottom w:val="single" w:color="D9D4CE" w:sz="1"/>
              <w:right w:val="single" w:color="D9D4CE" w:sz="1"/>
            </w:tcBorders>
            <w:shd w:fill="E8D5B8" w:val="clear"/>
            <w:tcMar>
              <w:top w:type="dxa" w:w="80"/>
              <w:left w:type="dxa" w:w="120"/>
              <w:bottom w:type="dxa" w:w="80"/>
              <w:right w:type="dxa" w:w="120"/>
            </w:tcMar>
          </w:tcPr>
          <w:p>
            <w:r>
              <w:rPr>
                <w:rFonts w:ascii="Arial" w:cs="Arial" w:eastAsia="Arial" w:hAnsi="Arial"/>
                <w:color w:val="6B6560"/>
                <w:sz w:val="20"/>
                <w:szCs w:val="20"/>
              </w:rPr>
              <w:t xml:space="preserve">Excellent potentiel, conversion à muscler</w:t>
            </w:r>
          </w:p>
        </w:tc>
      </w:tr>
    </w:tbl>
    <w:p>
      <w:pPr>
        <w:spacing w:after="200"/>
      </w:pPr>
    </w:p>
    <w:p>
      <w:pPr>
        <w:spacing w:after="160" w:line="320"/>
      </w:pPr>
      <w:r>
        <w:rPr>
          <w:rFonts w:ascii="Arial" w:cs="Arial" w:eastAsia="Arial" w:hAnsi="Arial"/>
          <w:b/>
          <w:bCs/>
          <w:color w:val="1A1714"/>
          <w:sz w:val="22"/>
          <w:szCs w:val="22"/>
        </w:rPr>
        <w:t xml:space="preserve">En résumé : </w:t>
      </w:r>
      <w:r>
        <w:rPr>
          <w:rFonts w:ascii="Arial" w:cs="Arial" w:eastAsia="Arial" w:hAnsi="Arial"/>
          <w:color w:val="1A1714"/>
          <w:sz w:val="22"/>
          <w:szCs w:val="22"/>
        </w:rPr>
        <w:t xml:space="preserve">Maison Mirage dispose d’un produit extraordinaire et d’une direction artistique qui joue dans la cour des marques de luxe mondiales. Le problème n’est pas le design — c’est que le site ne convertit pas à la hauteur de ce qu’il montre. Il séduit, mais ne conclut pas. C’est un commercial qui fait une présentation parfaite puis oublie de donner sa carte de visite.</w:t>
      </w:r>
    </w:p>
    <w:p>
      <w:r>
        <w:br w:type="page"/>
      </w:r>
    </w:p>
    <w:p>
      <w:pPr>
        <w:pStyle w:val="Heading1"/>
      </w:pPr>
      <w:r>
        <w:t xml:space="preserve">1. PROPOSITION DE VALEUR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C3A3A"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B+</w:t>
            </w:r>
          </w:p>
        </w:tc>
        <w:tc>
          <w:tcPr>
            <w:tcW w:type="dxa" w:w="7960"/>
            <w:tcBorders>
              <w:top w:val="none" w:color="FFFFFF" w:sz="0"/>
              <w:left w:val="none" w:color="FFFFFF" w:sz="0"/>
              <w:bottom w:val="none" w:color="FFFFFF" w:sz="0"/>
              <w:right w:val="none" w:color="FFFFFF" w:sz="0"/>
            </w:tcBorders>
            <w:shd w:fill="F7F3EE" w:val="clear"/>
            <w:tcMar>
              <w:top w:type="dxa" w:w="120"/>
              <w:left w:type="dxa" w:w="200"/>
              <w:bottom w:type="dxa" w:w="120"/>
              <w:right w:type="dxa" w:w="120"/>
            </w:tcMar>
          </w:tcPr>
          <w:p>
            <w:r>
              <w:rPr>
                <w:rFonts w:ascii="Arial" w:cs="Arial" w:eastAsia="Arial" w:hAnsi="Arial"/>
                <w:b/>
                <w:bCs/>
                <w:color w:val="1A1714"/>
                <w:sz w:val="22"/>
                <w:szCs w:val="22"/>
              </w:rPr>
              <w:t xml:space="preserve">La promesse est claire, mais le «Mirage» reste un concept non exploité</w:t>
            </w:r>
          </w:p>
          <w:p>
            <w:pPr>
              <w:spacing w:before="60"/>
            </w:pPr>
            <w:r>
              <w:rPr>
                <w:rFonts w:ascii="Arial" w:cs="Arial" w:eastAsia="Arial" w:hAnsi="Arial"/>
                <w:color w:val="6B6560"/>
                <w:sz w:val="20"/>
                <w:szCs w:val="20"/>
              </w:rPr>
              <w:t xml:space="preserve">Le visiteur comprend le produit en 3 secondes. Mais le «pourquoi moi» manque pour le pro hésitant.</w:t>
            </w:r>
          </w:p>
        </w:tc>
      </w:tr>
    </w:tbl>
    <w:p>
      <w:pPr>
        <w:spacing w:after="150"/>
      </w:pPr>
    </w:p>
    <w:p>
      <w:pPr>
        <w:pStyle w:val="Heading2"/>
      </w:pPr>
      <w:r>
        <w:t xml:space="preserve">1.1 Le test des 3 secondes</w:t>
      </w:r>
    </w:p>
    <w:p>
      <w:pPr>
        <w:spacing w:after="160" w:line="320"/>
      </w:pPr>
      <w:r>
        <w:rPr>
          <w:rFonts w:ascii="Arial" w:cs="Arial" w:eastAsia="Arial" w:hAnsi="Arial"/>
          <w:color w:val="1A1714"/>
          <w:sz w:val="22"/>
          <w:szCs w:val="22"/>
        </w:rPr>
        <w:t xml:space="preserve">Premier contact visuel : le hero affiche «L’Art de l’Illusion» sur fond de vidéo d’une pêche coupée en deux. Le sous-titre «Ce que vous voyez n’est jamais ce que vous goûtez» est poétique et intrigant. Le hook business «Le dessert que vos clients filment avant de manger» ancre immédiatement le bénéfice concret pour le professionnel.</w:t>
      </w:r>
    </w:p>
    <w:p>
      <w:pPr>
        <w:spacing w:after="160" w:line="320"/>
      </w:pPr>
      <w:r>
        <w:rPr>
          <w:rFonts w:ascii="Arial" w:cs="Arial" w:eastAsia="Arial" w:hAnsi="Arial"/>
          <w:b/>
          <w:bCs/>
          <w:color w:val="1A1714"/>
          <w:sz w:val="22"/>
          <w:szCs w:val="22"/>
        </w:rPr>
        <w:t xml:space="preserve">Verdict : </w:t>
      </w:r>
      <w:r>
        <w:rPr>
          <w:rFonts w:ascii="Arial" w:cs="Arial" w:eastAsia="Arial" w:hAnsi="Arial"/>
          <w:color w:val="1A1714"/>
          <w:sz w:val="22"/>
          <w:szCs w:val="22"/>
        </w:rPr>
        <w:t xml:space="preserve">Le trio eyebrow («Haute Pâtisserie Trompe-l’œil · Marseille») + titre + hook fonctionne. En 3 secondes, on sait : quoi (pâtisserie trompe-l’œil), où (Marseille), pour qui (restaurateurs). C’est bien.</w:t>
      </w:r>
    </w:p>
    <w:p>
      <w:pPr>
        <w:pStyle w:val="Heading2"/>
      </w:pPr>
      <w:r>
        <w:t xml:space="preserve">1.2 Le concept «Mirage» : un potentiel narratif gaspillé</w:t>
      </w:r>
    </w:p>
    <w:p>
      <w:pPr>
        <w:spacing w:after="160" w:line="320"/>
      </w:pPr>
      <w:r>
        <w:rPr>
          <w:rFonts w:ascii="Arial" w:cs="Arial" w:eastAsia="Arial" w:hAnsi="Arial"/>
          <w:b/>
          <w:bCs/>
          <w:color w:val="8C3A3A"/>
          <w:sz w:val="22"/>
          <w:szCs w:val="22"/>
        </w:rPr>
        <w:t xml:space="preserve">Problème critique : </w:t>
      </w:r>
      <w:r>
        <w:rPr>
          <w:rFonts w:ascii="Arial" w:cs="Arial" w:eastAsia="Arial" w:hAnsi="Arial"/>
          <w:color w:val="1A1714"/>
          <w:sz w:val="22"/>
          <w:szCs w:val="22"/>
        </w:rPr>
        <w:t xml:space="preserve">Le mot «Mirage» est le nom de la marque, mais il n’est jamais théâtralisé. Le site parle de «tn’est jamais ce que vous goûtez» mais ne crée pas l’expérience du mirage à l’écran. Il n’y a aucun moment où l’interface elle-même trompe l’œil du visiteur. Le concept reste verbal, jamais expérientiel.</w:t>
      </w:r>
    </w:p>
    <w:p>
      <w:pPr>
        <w:spacing w:after="160" w:line="320"/>
      </w:pPr>
      <w:r>
        <w:rPr>
          <w:rFonts w:ascii="Arial" w:cs="Arial" w:eastAsia="Arial" w:hAnsi="Arial"/>
          <w:color w:val="1A1714"/>
          <w:sz w:val="22"/>
          <w:szCs w:val="22"/>
        </w:rPr>
        <w:t xml:space="preserve">Un site dont le nom est «Mirage» devrait lui-même être un mirage. Imaginez : un fruit qui se révèle lentement comme pâtisserie au scroll, une animation de transition où la surface du fruit se décolle pour montrer l’intérieur. Le «Moment Mirage» devrait se vivre sur le site, pas seulement se lire.</w:t>
      </w:r>
    </w:p>
    <w:p>
      <w:pPr>
        <w:spacing w:after="160" w:line="320"/>
      </w:pPr>
      <w:r>
        <w:rPr>
          <w:rFonts w:ascii="Arial" w:cs="Arial" w:eastAsia="Arial" w:hAnsi="Arial"/>
          <w:b/>
          <w:bCs/>
          <w:color w:val="4A7C59"/>
          <w:sz w:val="22"/>
          <w:szCs w:val="22"/>
        </w:rPr>
        <w:t xml:space="preserve">Recommandation : </w:t>
      </w:r>
      <w:r>
        <w:rPr>
          <w:rFonts w:ascii="Arial" w:cs="Arial" w:eastAsia="Arial" w:hAnsi="Arial"/>
          <w:color w:val="1A1714"/>
          <w:sz w:val="22"/>
          <w:szCs w:val="22"/>
        </w:rPr>
        <w:t xml:space="preserve">Créer une micro-interaction hero où le fruit se transforme visuellement en pâtisserie (morphing CSS/WebGL). Faire du scroll lui-même un moment de révélation. Le site doit incarner son propre concept.</w:t>
      </w:r>
    </w:p>
    <w:p>
      <w:pPr>
        <w:pStyle w:val="Heading2"/>
      </w:pPr>
      <w:r>
        <w:t xml:space="preserve">1.3 La double cible B2B/Événementiel : confusion subtile</w:t>
      </w:r>
    </w:p>
    <w:p>
      <w:pPr>
        <w:spacing w:after="160" w:line="320"/>
      </w:pPr>
      <w:r>
        <w:rPr>
          <w:rFonts w:ascii="Arial" w:cs="Arial" w:eastAsia="Arial" w:hAnsi="Arial"/>
          <w:b/>
          <w:bCs/>
          <w:color w:val="8C3A3A"/>
          <w:sz w:val="22"/>
          <w:szCs w:val="22"/>
        </w:rPr>
        <w:t xml:space="preserve">Problème : </w:t>
      </w:r>
      <w:r>
        <w:rPr>
          <w:rFonts w:ascii="Arial" w:cs="Arial" w:eastAsia="Arial" w:hAnsi="Arial"/>
          <w:color w:val="1A1714"/>
          <w:sz w:val="22"/>
          <w:szCs w:val="22"/>
        </w:rPr>
        <w:t xml:space="preserve">La page d’accueil oscille entre deux audiences — les restaurateurs B2B réguliers et l’événementiel ponctuel — sans jamais expliciter la différence de parcours dès l’entrée. Le CTA primaire («Devenir partenaire») parle aux restaurateurs. Le CTA secondaire («Découvrir la collection») est générique. L’événementiel est relégué à un lien de navigation.</w:t>
      </w:r>
    </w:p>
    <w:p>
      <w:pPr>
        <w:spacing w:after="160" w:line="320"/>
      </w:pPr>
      <w:r>
        <w:rPr>
          <w:rFonts w:ascii="Arial" w:cs="Arial" w:eastAsia="Arial" w:hAnsi="Arial"/>
          <w:b/>
          <w:bCs/>
          <w:color w:val="4A7C59"/>
          <w:sz w:val="22"/>
          <w:szCs w:val="22"/>
        </w:rPr>
        <w:t xml:space="preserve">Recommandation : </w:t>
      </w:r>
      <w:r>
        <w:rPr>
          <w:rFonts w:ascii="Arial" w:cs="Arial" w:eastAsia="Arial" w:hAnsi="Arial"/>
          <w:color w:val="1A1714"/>
          <w:sz w:val="22"/>
          <w:szCs w:val="22"/>
        </w:rPr>
        <w:t xml:space="preserve">Tester un gateway modal dès l’entrée avec deux parcours clairs : «Je suis restaurateur» / «J’organise un événement». Cela segmente l’intention dès le premier clic et évite la dilution du message.</w:t>
      </w:r>
    </w:p>
    <w:p>
      <w:r>
        <w:br w:type="page"/>
      </w:r>
    </w:p>
    <w:p>
      <w:pPr>
        <w:pStyle w:val="Heading1"/>
      </w:pPr>
      <w:r>
        <w:t xml:space="preserve">2. AUDIT UX &amp; ERGONOMIE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A8895C"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B</w:t>
            </w:r>
          </w:p>
        </w:tc>
        <w:tc>
          <w:tcPr>
            <w:tcW w:type="dxa" w:w="7960"/>
            <w:tcBorders>
              <w:top w:val="none" w:color="FFFFFF" w:sz="0"/>
              <w:left w:val="none" w:color="FFFFFF" w:sz="0"/>
              <w:bottom w:val="none" w:color="FFFFFF" w:sz="0"/>
              <w:right w:val="none" w:color="FFFFFF" w:sz="0"/>
            </w:tcBorders>
            <w:shd w:fill="F7F3EE" w:val="clear"/>
            <w:tcMar>
              <w:top w:type="dxa" w:w="120"/>
              <w:left w:type="dxa" w:w="200"/>
              <w:bottom w:type="dxa" w:w="120"/>
              <w:right w:type="dxa" w:w="120"/>
            </w:tcMar>
          </w:tcPr>
          <w:p>
            <w:r>
              <w:rPr>
                <w:rFonts w:ascii="Arial" w:cs="Arial" w:eastAsia="Arial" w:hAnsi="Arial"/>
                <w:b/>
                <w:bCs/>
                <w:color w:val="1A1714"/>
                <w:sz w:val="22"/>
                <w:szCs w:val="22"/>
              </w:rPr>
              <w:t xml:space="preserve">Parcours logique mais tunnel de conversion trop long</w:t>
            </w:r>
          </w:p>
          <w:p>
            <w:pPr>
              <w:spacing w:before="60"/>
            </w:pPr>
            <w:r>
              <w:rPr>
                <w:rFonts w:ascii="Arial" w:cs="Arial" w:eastAsia="Arial" w:hAnsi="Arial"/>
                <w:color w:val="6B6560"/>
                <w:sz w:val="20"/>
                <w:szCs w:val="20"/>
              </w:rPr>
              <w:t xml:space="preserve">L’architecture est cohérente, mais le chemin vers la conversion comporte trop d’étapes passives avant l’action.</w:t>
            </w:r>
          </w:p>
        </w:tc>
      </w:tr>
    </w:tbl>
    <w:p>
      <w:pPr>
        <w:spacing w:after="150"/>
      </w:pPr>
    </w:p>
    <w:p>
      <w:pPr>
        <w:pStyle w:val="Heading2"/>
      </w:pPr>
      <w:r>
        <w:t xml:space="preserve">2.1 Architecture de l’information</w:t>
      </w:r>
    </w:p>
    <w:p>
      <w:pPr>
        <w:spacing w:after="160" w:line="320"/>
      </w:pPr>
      <w:r>
        <w:rPr>
          <w:rFonts w:ascii="Arial" w:cs="Arial" w:eastAsia="Arial" w:hAnsi="Arial"/>
          <w:color w:val="1A1714"/>
          <w:sz w:val="22"/>
          <w:szCs w:val="22"/>
        </w:rPr>
        <w:t xml:space="preserve">Le site est désormais multi-pages avec une homepage riche (hero → KPI → vidéo → témoignages → catalogue → tarifs → parallaxe → atelier teaser → fondateur → garanties → FAQ → lead magnet → CTA final) et des pages dédiées (Atelier, Notre Histoire, Partenaires, Case Studies, Événements, fiches produit individuelles). C’est un progrès structurel majeur par rapport à un one-pager.</w:t>
      </w:r>
    </w:p>
    <w:p>
      <w:pPr>
        <w:spacing w:after="160" w:line="320"/>
      </w:pPr>
      <w:r>
        <w:rPr>
          <w:rFonts w:ascii="Arial" w:cs="Arial" w:eastAsia="Arial" w:hAnsi="Arial"/>
          <w:b/>
          <w:bCs/>
          <w:color w:val="8C3A3A"/>
          <w:sz w:val="22"/>
          <w:szCs w:val="22"/>
        </w:rPr>
        <w:t xml:space="preserve">Problème : </w:t>
      </w:r>
      <w:r>
        <w:rPr>
          <w:rFonts w:ascii="Arial" w:cs="Arial" w:eastAsia="Arial" w:hAnsi="Arial"/>
          <w:color w:val="1A1714"/>
          <w:sz w:val="22"/>
          <w:szCs w:val="22"/>
        </w:rPr>
        <w:t xml:space="preserve">La homepage est un monolithe de 13+ sections. Le visiteur pro n’a pas 4 minutes à scroller. La loi de Hick s’applique : trop de choix et de contenus diluent l’attention. Après la section témoignages (section 4), le taux de scroll-through chute statistiquement.</w:t>
      </w:r>
    </w:p>
    <w:p>
      <w:pPr>
        <w:spacing w:after="160" w:line="320"/>
      </w:pPr>
      <w:r>
        <w:rPr>
          <w:rFonts w:ascii="Arial" w:cs="Arial" w:eastAsia="Arial" w:hAnsi="Arial"/>
          <w:b/>
          <w:bCs/>
          <w:color w:val="4A7C59"/>
          <w:sz w:val="22"/>
          <w:szCs w:val="22"/>
        </w:rPr>
        <w:t xml:space="preserve">Recommandation : </w:t>
      </w:r>
      <w:r>
        <w:rPr>
          <w:rFonts w:ascii="Arial" w:cs="Arial" w:eastAsia="Arial" w:hAnsi="Arial"/>
          <w:color w:val="1A1714"/>
          <w:sz w:val="22"/>
          <w:szCs w:val="22"/>
        </w:rPr>
        <w:t xml:space="preserve">Épurater la homepage à 7 sections maximum : Hero → Preuve sociale rapide → Vidéo «Moment Mirage» → Catalogue (grid compact) → Tarifs → Garanties + FAQ fusionnées → CTA final. Déporter le fondateur, l’atelier teaser et le lead magnet vers leurs pages dédiées.</w:t>
      </w:r>
    </w:p>
    <w:p>
      <w:pPr>
        <w:pStyle w:val="Heading2"/>
      </w:pPr>
      <w:r>
        <w:t xml:space="preserve">2.2 Parcours utilisateur (User Journey B2B)</w:t>
      </w:r>
    </w:p>
    <w:p>
      <w:pPr>
        <w:spacing w:after="160" w:line="320"/>
      </w:pPr>
      <w:r>
        <w:rPr>
          <w:rFonts w:ascii="Arial" w:cs="Arial" w:eastAsia="Arial" w:hAnsi="Arial"/>
          <w:color w:val="1A1714"/>
          <w:sz w:val="22"/>
          <w:szCs w:val="22"/>
        </w:rPr>
        <w:t xml:space="preserve">Le restaurateur type arrive probablement via Instagram/TikTok (bouche-à-oreille viral) ou recherche Google. Son parcours idéal : comprendre le concept (3s) → voir la preuve que ça marche chez d’autres (+30% ticket moyen) → découvrir les prix → commander une dégustation gratuite.</w:t>
      </w:r>
    </w:p>
    <w:p>
      <w:pPr>
        <w:spacing w:after="160" w:line="320"/>
      </w:pPr>
      <w:r>
        <w:rPr>
          <w:rFonts w:ascii="Arial" w:cs="Arial" w:eastAsia="Arial" w:hAnsi="Arial"/>
          <w:b/>
          <w:bCs/>
          <w:color w:val="8C3A3A"/>
          <w:sz w:val="22"/>
          <w:szCs w:val="22"/>
        </w:rPr>
        <w:t xml:space="preserve">Friction identifiée : </w:t>
      </w:r>
      <w:r>
        <w:rPr>
          <w:rFonts w:ascii="Arial" w:cs="Arial" w:eastAsia="Arial" w:hAnsi="Arial"/>
          <w:color w:val="1A1714"/>
          <w:sz w:val="22"/>
          <w:szCs w:val="22"/>
        </w:rPr>
        <w:t xml:space="preserve">La barre KPI arrive juste après le hero, ce qui est bien. Mais la vidéo (section 3) coupe le rythme de conviction avant les témoignages (section 4). Le restaurateur veut des preuves de ROI, pas un contenu ASMR. La vidéo est un élément émotionnel qui devrait venir APRES la conviction rationnelle, pas avant.</w:t>
      </w:r>
    </w:p>
    <w:p>
      <w:pPr>
        <w:spacing w:after="160" w:line="320"/>
      </w:pPr>
      <w:r>
        <w:rPr>
          <w:rFonts w:ascii="Arial" w:cs="Arial" w:eastAsia="Arial" w:hAnsi="Arial"/>
          <w:b/>
          <w:bCs/>
          <w:color w:val="4A7C59"/>
          <w:sz w:val="22"/>
          <w:szCs w:val="22"/>
        </w:rPr>
        <w:t xml:space="preserve">Recommandation : </w:t>
      </w:r>
      <w:r>
        <w:rPr>
          <w:rFonts w:ascii="Arial" w:cs="Arial" w:eastAsia="Arial" w:hAnsi="Arial"/>
          <w:color w:val="1A1714"/>
          <w:sz w:val="22"/>
          <w:szCs w:val="22"/>
        </w:rPr>
        <w:t xml:space="preserve">Réordonner : Hero → KPI → Témoignages (preuve sociale) → Catalogue + Tarifs → Vidéo (récompense émotionnelle) → CTA. La vidéo devient un moment de plaisir qui intervient une fois la décision presque prise.</w:t>
      </w:r>
    </w:p>
    <w:p>
      <w:pPr>
        <w:pStyle w:val="Heading2"/>
      </w:pPr>
      <w:r>
        <w:t xml:space="preserve">2.3 Efficacité des CTA</w:t>
      </w:r>
    </w:p>
    <w:p>
      <w:pPr>
        <w:spacing w:after="160" w:line="320"/>
      </w:pPr>
      <w:r>
        <w:rPr>
          <w:rFonts w:ascii="Arial" w:cs="Arial" w:eastAsia="Arial" w:hAnsi="Arial"/>
          <w:color w:val="1A1714"/>
          <w:sz w:val="22"/>
          <w:szCs w:val="22"/>
        </w:rPr>
        <w:t xml:space="preserve">Le site dispose désormais de CTA contextuels après chaque section («Devenir partenaire» répété 6+ fois, «Découvrir la collection» 2 fois). La sticky CTA bar en bas avec réassurance est un bon mécanisme. Le CTA «Devis» dans la navbar est compact et visible.</w:t>
      </w:r>
    </w:p>
    <w:p>
      <w:pPr>
        <w:spacing w:after="160" w:line="320"/>
      </w:pPr>
      <w:r>
        <w:rPr>
          <w:rFonts w:ascii="Arial" w:cs="Arial" w:eastAsia="Arial" w:hAnsi="Arial"/>
          <w:b/>
          <w:bCs/>
          <w:color w:val="8C3A3A"/>
          <w:sz w:val="22"/>
          <w:szCs w:val="22"/>
        </w:rPr>
        <w:t xml:space="preserve">Problème : </w:t>
      </w:r>
      <w:r>
        <w:rPr>
          <w:rFonts w:ascii="Arial" w:cs="Arial" w:eastAsia="Arial" w:hAnsi="Arial"/>
          <w:color w:val="1A1714"/>
          <w:sz w:val="22"/>
          <w:szCs w:val="22"/>
        </w:rPr>
        <w:t xml:space="preserve">La répétition du même CTA «Devenir partenaire» crée une fatigue cognitive (banner blindness). Les 6 occurrences identiques deviennent invisibles. De plus, «Devenir partenaire» est vague — devenir partenaire de quoi, concrètement ? Le verbe «devenir» implique un engagement lourd.</w:t>
      </w:r>
    </w:p>
    <w:p>
      <w:pPr>
        <w:spacing w:after="160" w:line="320"/>
      </w:pPr>
      <w:r>
        <w:rPr>
          <w:rFonts w:ascii="Arial" w:cs="Arial" w:eastAsia="Arial" w:hAnsi="Arial"/>
          <w:b/>
          <w:bCs/>
          <w:color w:val="4A7C59"/>
          <w:sz w:val="22"/>
          <w:szCs w:val="22"/>
        </w:rPr>
        <w:t xml:space="preserve">Recommandation : </w:t>
      </w:r>
      <w:r>
        <w:rPr>
          <w:rFonts w:ascii="Arial" w:cs="Arial" w:eastAsia="Arial" w:hAnsi="Arial"/>
          <w:color w:val="1A1714"/>
          <w:sz w:val="22"/>
          <w:szCs w:val="22"/>
        </w:rPr>
        <w:t xml:space="preserve">Varier le wording des CTA selon le contexte. Après les témoignages : «Rejoindre 15+ établissements». Après les tarifs : «Commander une dégustation gratuite». Après le catalogue : «Recevoir un devis en 24h». Chaque CTA doit refléter le bénéfice immédiat à ce stade du parcours. Réduire l’engagement perçu.</w:t>
      </w:r>
    </w:p>
    <w:p>
      <w:pPr>
        <w:pStyle w:val="Heading2"/>
      </w:pPr>
      <w:r>
        <w:t xml:space="preserve">2.4 Navigation</w:t>
      </w:r>
    </w:p>
    <w:p>
      <w:pPr>
        <w:spacing w:after="160" w:line="320"/>
      </w:pPr>
      <w:r>
        <w:rPr>
          <w:rFonts w:ascii="Arial" w:cs="Arial" w:eastAsia="Arial" w:hAnsi="Arial"/>
          <w:color w:val="1A1714"/>
          <w:sz w:val="22"/>
          <w:szCs w:val="22"/>
        </w:rPr>
        <w:t xml:space="preserve">La navbar glassmorphism floating est élégante : fond semi-transparent blur, structure split (liens gauche — logo central — liens droit + CTA). Le burger mobile est bien implémenté avec animation X. L’overlay mobile plein écran avec fond sombre et liens en colonne est clair.</w:t>
      </w:r>
    </w:p>
    <w:p>
      <w:pPr>
        <w:spacing w:after="160" w:line="320"/>
      </w:pPr>
      <w:r>
        <w:rPr>
          <w:rFonts w:ascii="Arial" w:cs="Arial" w:eastAsia="Arial" w:hAnsi="Arial"/>
          <w:b/>
          <w:bCs/>
          <w:color w:val="8C3A3A"/>
          <w:sz w:val="22"/>
          <w:szCs w:val="22"/>
        </w:rPr>
        <w:t xml:space="preserve">Problème : </w:t>
      </w:r>
      <w:r>
        <w:rPr>
          <w:rFonts w:ascii="Arial" w:cs="Arial" w:eastAsia="Arial" w:hAnsi="Arial"/>
          <w:color w:val="1A1714"/>
          <w:sz w:val="22"/>
          <w:szCs w:val="22"/>
        </w:rPr>
        <w:t xml:space="preserve">Sur desktop, les liens de navigation sont en font-size 0.56rem (environ 9px). C’est sous le seuil de lisibilité confortable pour la plupart des utilisateurs. La loi de Fitts indique que des cibles trop petites augmentent le temps d’acquisition. De plus, «Résultats» comme intitulé de navigation est ambigu — résultats de quoi ?</w:t>
      </w:r>
    </w:p>
    <w:p>
      <w:pPr>
        <w:spacing w:after="160" w:line="320"/>
      </w:pPr>
      <w:r>
        <w:rPr>
          <w:rFonts w:ascii="Arial" w:cs="Arial" w:eastAsia="Arial" w:hAnsi="Arial"/>
          <w:b/>
          <w:bCs/>
          <w:color w:val="4A7C59"/>
          <w:sz w:val="22"/>
          <w:szCs w:val="22"/>
        </w:rPr>
        <w:t xml:space="preserve">Recommandation : </w:t>
      </w:r>
      <w:r>
        <w:rPr>
          <w:rFonts w:ascii="Arial" w:cs="Arial" w:eastAsia="Arial" w:hAnsi="Arial"/>
          <w:color w:val="1A1714"/>
          <w:sz w:val="22"/>
          <w:szCs w:val="22"/>
        </w:rPr>
        <w:t xml:space="preserve">Augmenter la font-size de la nav à minimum 0.65rem (10.4px). Renommer «Résultats» en «Tous les partenaires» ou «Case Studies». Considérer un méga-menu sur «Catalogue» pour un accès direct aux catégories (Fruits, Chocolat, Signatures).</w:t>
      </w:r>
    </w:p>
    <w:p>
      <w:r>
        <w:br w:type="page"/>
      </w:r>
    </w:p>
    <w:p>
      <w:pPr>
        <w:pStyle w:val="Heading1"/>
      </w:pPr>
      <w:r>
        <w:t xml:space="preserve">3. AUDIT UI &amp; BRANDING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C3A3A"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A–</w:t>
            </w:r>
          </w:p>
        </w:tc>
        <w:tc>
          <w:tcPr>
            <w:tcW w:type="dxa" w:w="7960"/>
            <w:tcBorders>
              <w:top w:val="none" w:color="FFFFFF" w:sz="0"/>
              <w:left w:val="none" w:color="FFFFFF" w:sz="0"/>
              <w:bottom w:val="none" w:color="FFFFFF" w:sz="0"/>
              <w:right w:val="none" w:color="FFFFFF" w:sz="0"/>
            </w:tcBorders>
            <w:shd w:fill="F7F3EE" w:val="clear"/>
            <w:tcMar>
              <w:top w:type="dxa" w:w="120"/>
              <w:left w:type="dxa" w:w="200"/>
              <w:bottom w:type="dxa" w:w="120"/>
              <w:right w:type="dxa" w:w="120"/>
            </w:tcMar>
          </w:tcPr>
          <w:p>
            <w:r>
              <w:rPr>
                <w:rFonts w:ascii="Arial" w:cs="Arial" w:eastAsia="Arial" w:hAnsi="Arial"/>
                <w:b/>
                <w:bCs/>
                <w:color w:val="1A1714"/>
                <w:sz w:val="22"/>
                <w:szCs w:val="22"/>
              </w:rPr>
              <w:t xml:space="preserve">Direction artistique exceptionnelle, quelques incohérences à corriger</w:t>
            </w:r>
          </w:p>
          <w:p>
            <w:pPr>
              <w:spacing w:before="60"/>
            </w:pPr>
            <w:r>
              <w:rPr>
                <w:rFonts w:ascii="Arial" w:cs="Arial" w:eastAsia="Arial" w:hAnsi="Arial"/>
                <w:color w:val="6B6560"/>
                <w:sz w:val="20"/>
                <w:szCs w:val="20"/>
              </w:rPr>
              <w:t xml:space="preserve">C’est le point fort du site. Le design system est mature et le branding évoque le luxe de manière convaincante.</w:t>
            </w:r>
          </w:p>
        </w:tc>
      </w:tr>
    </w:tbl>
    <w:p>
      <w:pPr>
        <w:spacing w:after="150"/>
      </w:pPr>
    </w:p>
    <w:p>
      <w:pPr>
        <w:pStyle w:val="Heading2"/>
      </w:pPr>
      <w:r>
        <w:t xml:space="preserve">3.1 Hiérarchie visuelle</w:t>
      </w:r>
    </w:p>
    <w:p>
      <w:pPr>
        <w:spacing w:after="160" w:line="320"/>
      </w:pPr>
      <w:r>
        <w:rPr>
          <w:rFonts w:ascii="Arial" w:cs="Arial" w:eastAsia="Arial" w:hAnsi="Arial"/>
          <w:color w:val="1A1714"/>
          <w:sz w:val="22"/>
          <w:szCs w:val="22"/>
        </w:rPr>
        <w:t xml:space="preserve">La hiérarchie typographique est maîtrisée. Trois niveaux clairement définis : Cormorant Garamond (serif) pour les titres émotionnels, Outfit (sans-serif) pour le corps de texte, JetBrains Mono pour les eyebrows, les prix et les CTA. Ce système à 3 voix crée un contraste typographique riche qui rappelle les codes éditoriaux du luxe (Celine, Bottega Veneta).</w:t>
      </w:r>
    </w:p>
    <w:p>
      <w:pPr>
        <w:spacing w:after="160" w:line="320"/>
      </w:pPr>
      <w:r>
        <w:rPr>
          <w:rFonts w:ascii="Arial" w:cs="Arial" w:eastAsia="Arial" w:hAnsi="Arial"/>
          <w:color w:val="1A1714"/>
          <w:sz w:val="22"/>
          <w:szCs w:val="22"/>
        </w:rPr>
        <w:t xml:space="preserve">Les titres en serif italic doré (var(--gold-light): #C9AA7C) créent un point focal efficace. Le pattern récurrent «Mot / de / [Mot italic doré]» (ex: «L’Art de l’Illusion», «De la matière à l’illusion») donne un rythme poétique cohérent.</w:t>
      </w:r>
    </w:p>
    <w:p>
      <w:pPr>
        <w:spacing w:after="160" w:line="320"/>
      </w:pPr>
      <w:r>
        <w:rPr>
          <w:rFonts w:ascii="Arial" w:cs="Arial" w:eastAsia="Arial" w:hAnsi="Arial"/>
          <w:b/>
          <w:bCs/>
          <w:color w:val="8C3A3A"/>
          <w:sz w:val="22"/>
          <w:szCs w:val="22"/>
        </w:rPr>
        <w:t xml:space="preserve">Point d’attention : </w:t>
      </w:r>
      <w:r>
        <w:rPr>
          <w:rFonts w:ascii="Arial" w:cs="Arial" w:eastAsia="Arial" w:hAnsi="Arial"/>
          <w:color w:val="1A1714"/>
          <w:sz w:val="22"/>
          <w:szCs w:val="22"/>
        </w:rPr>
        <w:t xml:space="preserve">Le hero-h1 en clamp(4rem, 8vw, 8rem) est massif. Sur un écran 1440px, cela donne environ 115px. C’est théâtral, mais ça pousse le hook business et les CTA sous la ligne de flottaison sur certains viewports. Le «fold» est sacrifié au profit de l’esthétique.</w:t>
      </w:r>
    </w:p>
    <w:p>
      <w:pPr>
        <w:pStyle w:val="Heading2"/>
      </w:pPr>
      <w:r>
        <w:t xml:space="preserve">3.2 Palette de couleurs</w:t>
      </w:r>
    </w:p>
    <w:p>
      <w:pPr>
        <w:spacing w:after="160" w:line="320"/>
      </w:pPr>
      <w:r>
        <w:rPr>
          <w:rFonts w:ascii="Arial" w:cs="Arial" w:eastAsia="Arial" w:hAnsi="Arial"/>
          <w:color w:val="1A1714"/>
          <w:sz w:val="22"/>
          <w:szCs w:val="22"/>
        </w:rPr>
        <w:t xml:space="preserve">Le système de tokens CSS est exemplaire. 4 niveaux de crème (#FAF5EF, #F5F0EA, #EDE8E2), 3 niveaux d’encre (#1A1714, #2C2824, #6B6560), 4 déclinaisons d’or (#A8895C, #C9AA7C, #E8D5B8, #D4B896). Les gradients (gold, dark, glass, glow) sont définis en custom properties. C’est un design system mature.</w:t>
      </w:r>
    </w:p>
    <w:p>
      <w:pPr>
        <w:spacing w:after="160" w:line="320"/>
      </w:pPr>
      <w:r>
        <w:rPr>
          <w:rFonts w:ascii="Arial" w:cs="Arial" w:eastAsia="Arial" w:hAnsi="Arial"/>
          <w:b/>
          <w:bCs/>
          <w:color w:val="8C3A3A"/>
          <w:sz w:val="22"/>
          <w:szCs w:val="22"/>
        </w:rPr>
        <w:t xml:space="preserve">Problème : </w:t>
      </w:r>
      <w:r>
        <w:rPr>
          <w:rFonts w:ascii="Arial" w:cs="Arial" w:eastAsia="Arial" w:hAnsi="Arial"/>
          <w:color w:val="1A1714"/>
          <w:sz w:val="22"/>
          <w:szCs w:val="22"/>
        </w:rPr>
        <w:t xml:space="preserve">La palette est monochrome chaude. Il n’y a aucune couleur d’accent froide ou vive pour créer du contraste d’attention. Les CTA dorés sur fond crème ont un rapport de contraste de luminance d’environ 3.2:1 — insuffisant pour le WCAG AA (4.5:1 requis pour le texte normal). Le bouton primaire doré (#A8895C) sur fond crème (#FAF5EF) est élégant mais manque d’urgence visuelle.</w:t>
      </w:r>
    </w:p>
    <w:p>
      <w:pPr>
        <w:spacing w:after="160" w:line="320"/>
      </w:pPr>
      <w:r>
        <w:rPr>
          <w:rFonts w:ascii="Arial" w:cs="Arial" w:eastAsia="Arial" w:hAnsi="Arial"/>
          <w:b/>
          <w:bCs/>
          <w:color w:val="4A7C59"/>
          <w:sz w:val="22"/>
          <w:szCs w:val="22"/>
        </w:rPr>
        <w:t xml:space="preserve">Recommandation : </w:t>
      </w:r>
      <w:r>
        <w:rPr>
          <w:rFonts w:ascii="Arial" w:cs="Arial" w:eastAsia="Arial" w:hAnsi="Arial"/>
          <w:color w:val="1A1714"/>
          <w:sz w:val="22"/>
          <w:szCs w:val="22"/>
        </w:rPr>
        <w:t xml:space="preserve">Introduire une couleur d’accent unique pour les CTA de conversion : un brun-noir profond (#2C2824 ou #1A1714) avec texte crème. Garder le doré pour les éléments de prestige (eyebrows, badges, filets). Le contraste CTA encre-sur-doré passerait à 7.2:1 — conforme WCAG AAA.</w:t>
      </w:r>
    </w:p>
    <w:p>
      <w:pPr>
        <w:pStyle w:val="Heading2"/>
      </w:pPr>
      <w:r>
        <w:t xml:space="preserve">3.3 Espaces blancs (White Space)</w:t>
      </w:r>
    </w:p>
    <w:p>
      <w:pPr>
        <w:spacing w:after="160" w:line="320"/>
      </w:pPr>
      <w:r>
        <w:rPr>
          <w:rFonts w:ascii="Arial" w:cs="Arial" w:eastAsia="Arial" w:hAnsi="Arial"/>
          <w:color w:val="1A1714"/>
          <w:sz w:val="22"/>
          <w:szCs w:val="22"/>
        </w:rPr>
        <w:t xml:space="preserve">L’échelle de spacing est bien structurée (base 8px, de 0.25rem à 12rem). Les sections utilisent généreusement l’espace négatif, ce qui renforce le positionnement luxe.</w:t>
      </w:r>
    </w:p>
    <w:p>
      <w:pPr>
        <w:spacing w:after="160" w:line="320"/>
      </w:pPr>
      <w:r>
        <w:rPr>
          <w:rFonts w:ascii="Arial" w:cs="Arial" w:eastAsia="Arial" w:hAnsi="Arial"/>
          <w:b/>
          <w:bCs/>
          <w:color w:val="8C3A3A"/>
          <w:sz w:val="22"/>
          <w:szCs w:val="22"/>
        </w:rPr>
        <w:t xml:space="preserve">Problème : </w:t>
      </w:r>
      <w:r>
        <w:rPr>
          <w:rFonts w:ascii="Arial" w:cs="Arial" w:eastAsia="Arial" w:hAnsi="Arial"/>
          <w:color w:val="1A1714"/>
          <w:sz w:val="22"/>
          <w:szCs w:val="22"/>
        </w:rPr>
        <w:t xml:space="preserve">Certaines sections ont des paddings excessifs. La section parallaxe «Le Standard Mirage» occupe un écran entier pour trois lignes de texte. Le lead magnet est précédé et suivi de marges colossales. Sur mobile, cela se traduit par 4-5 scrolls «vides» qui donnent une impression de contenu inachevé.</w:t>
      </w:r>
    </w:p>
    <w:p>
      <w:pPr>
        <w:spacing w:after="160" w:line="320"/>
      </w:pPr>
      <w:r>
        <w:rPr>
          <w:rFonts w:ascii="Arial" w:cs="Arial" w:eastAsia="Arial" w:hAnsi="Arial"/>
          <w:b/>
          <w:bCs/>
          <w:color w:val="4A7C59"/>
          <w:sz w:val="22"/>
          <w:szCs w:val="22"/>
        </w:rPr>
        <w:t xml:space="preserve">Recommandation : </w:t>
      </w:r>
      <w:r>
        <w:rPr>
          <w:rFonts w:ascii="Arial" w:cs="Arial" w:eastAsia="Arial" w:hAnsi="Arial"/>
          <w:color w:val="1A1714"/>
          <w:sz w:val="22"/>
          <w:szCs w:val="22"/>
        </w:rPr>
        <w:t xml:space="preserve">Réduire les paddings inter-sections de 30% sur desktop et 50% sur mobile. La règle : l’espace blanc doit servir la respiration, pas la pagination artificielle. Objectif : homepage scrollable en 6-8 scrolls desktop, 12-15 mobile (contre ~10 et ~20+ actuellement).</w:t>
      </w:r>
    </w:p>
    <w:p>
      <w:pPr>
        <w:pStyle w:val="Heading2"/>
      </w:pPr>
      <w:r>
        <w:t xml:space="preserve">3.4 Le design évoque-t-il le luxe ?</w:t>
      </w:r>
    </w:p>
    <w:p>
      <w:pPr>
        <w:spacing w:after="160" w:line="320"/>
      </w:pPr>
      <w:r>
        <w:rPr>
          <w:rFonts w:ascii="Arial" w:cs="Arial" w:eastAsia="Arial" w:hAnsi="Arial"/>
          <w:b/>
          <w:bCs/>
          <w:color w:val="1A1714"/>
          <w:sz w:val="22"/>
          <w:szCs w:val="22"/>
        </w:rPr>
        <w:t xml:space="preserve">Oui, sans ambiguïté. </w:t>
      </w:r>
      <w:r>
        <w:rPr>
          <w:rFonts w:ascii="Arial" w:cs="Arial" w:eastAsia="Arial" w:hAnsi="Arial"/>
          <w:color w:val="1A1714"/>
          <w:sz w:val="22"/>
          <w:szCs w:val="22"/>
        </w:rPr>
        <w:t xml:space="preserve">Le grain overlay SVG en position fixed (feTurbulence avec baseFrequency 0.75) ajoute une texture papier subtile sur toute la page. Le glassmorphism de la navbar (backdrop-filter blur 24px, saturate 1.6) est maîtrisé. Les hover states des boutons avec animation de remplissage translateX sont fluides (0.55s ease-out). Les ombres utilisent un système à 5 niveaux (xs à xl) avec une teinte chaude (rgba(26,23,20,x)). Le scrollbar custom fin (2px, doré) est un détail qui compte.</w:t>
      </w:r>
    </w:p>
    <w:p>
      <w:pPr>
        <w:spacing w:after="160" w:line="320"/>
      </w:pPr>
      <w:r>
        <w:rPr>
          <w:rFonts w:ascii="Arial" w:cs="Arial" w:eastAsia="Arial" w:hAnsi="Arial"/>
          <w:b/>
          <w:bCs/>
          <w:color w:val="8C3A3A"/>
          <w:sz w:val="22"/>
          <w:szCs w:val="22"/>
        </w:rPr>
        <w:t xml:space="preserve">Limite : </w:t>
      </w:r>
      <w:r>
        <w:rPr>
          <w:rFonts w:ascii="Arial" w:cs="Arial" w:eastAsia="Arial" w:hAnsi="Arial"/>
          <w:color w:val="1A1714"/>
          <w:sz w:val="22"/>
          <w:szCs w:val="22"/>
        </w:rPr>
        <w:t xml:space="preserve">Le luxe est visuel mais pas sensoriel. Il manque des micro-interactions qui surprennent : un curseur custom, des transitions de page, un effet de parallaxe sur les images produit. Les marques de luxe numériques (Aesop, Le Labo, Diptyque) investissent massivement dans ces détails. Le site est beau mais statique dans son expérience.</w:t>
      </w:r>
    </w:p>
    <w:p>
      <w:r>
        <w:br w:type="page"/>
      </w:r>
    </w:p>
    <w:p>
      <w:pPr>
        <w:pStyle w:val="Heading1"/>
      </w:pPr>
      <w:r>
        <w:t xml:space="preserve">4. AUDIT MARKETING &amp; PSYCHOLOGIE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C3A3A"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B–</w:t>
            </w:r>
          </w:p>
        </w:tc>
        <w:tc>
          <w:tcPr>
            <w:tcW w:type="dxa" w:w="7960"/>
            <w:tcBorders>
              <w:top w:val="none" w:color="FFFFFF" w:sz="0"/>
              <w:left w:val="none" w:color="FFFFFF" w:sz="0"/>
              <w:bottom w:val="none" w:color="FFFFFF" w:sz="0"/>
              <w:right w:val="none" w:color="FFFFFF" w:sz="0"/>
            </w:tcBorders>
            <w:shd w:fill="F7F3EE" w:val="clear"/>
            <w:tcMar>
              <w:top w:type="dxa" w:w="120"/>
              <w:left w:type="dxa" w:w="200"/>
              <w:bottom w:type="dxa" w:w="120"/>
              <w:right w:type="dxa" w:w="120"/>
            </w:tcMar>
          </w:tcPr>
          <w:p>
            <w:r>
              <w:rPr>
                <w:rFonts w:ascii="Arial" w:cs="Arial" w:eastAsia="Arial" w:hAnsi="Arial"/>
                <w:b/>
                <w:bCs/>
                <w:color w:val="1A1714"/>
                <w:sz w:val="22"/>
                <w:szCs w:val="22"/>
              </w:rPr>
              <w:t xml:space="preserve">Les leviers sont posés mais manquent d’intensité</w:t>
            </w:r>
          </w:p>
          <w:p>
            <w:pPr>
              <w:spacing w:before="60"/>
            </w:pPr>
            <w:r>
              <w:rPr>
                <w:rFonts w:ascii="Arial" w:cs="Arial" w:eastAsia="Arial" w:hAnsi="Arial"/>
                <w:color w:val="6B6560"/>
                <w:sz w:val="20"/>
                <w:szCs w:val="20"/>
              </w:rPr>
              <w:t xml:space="preserve">La preuve sociale existe mais reste locale. Les leviers psychologiques (rareté, urgence, autorité) sont sous-utilisés.</w:t>
            </w:r>
          </w:p>
        </w:tc>
      </w:tr>
    </w:tbl>
    <w:p>
      <w:pPr>
        <w:spacing w:after="150"/>
      </w:pPr>
    </w:p>
    <w:p>
      <w:pPr>
        <w:pStyle w:val="Heading2"/>
      </w:pPr>
      <w:r>
        <w:t xml:space="preserve">4.1 Preuve sociale</w:t>
      </w:r>
    </w:p>
    <w:p>
      <w:pPr>
        <w:spacing w:after="160" w:line="320"/>
      </w:pPr>
      <w:r>
        <w:rPr>
          <w:rFonts w:ascii="Arial" w:cs="Arial" w:eastAsia="Arial" w:hAnsi="Arial"/>
          <w:color w:val="1A1714"/>
          <w:sz w:val="22"/>
          <w:szCs w:val="22"/>
        </w:rPr>
        <w:t xml:space="preserve">3 témoignages avec métriques chiffrées (+45% Instagram, +30% ticket moyen, «rentable dès le 1er mois»), 7 logos partenaires, et un KPI «15+ établissements en 12 mois». C’est une base solide pour une marque jeune.</w:t>
      </w:r>
    </w:p>
    <w:p>
      <w:pPr>
        <w:spacing w:after="160" w:line="320"/>
      </w:pPr>
      <w:r>
        <w:rPr>
          <w:rFonts w:ascii="Arial" w:cs="Arial" w:eastAsia="Arial" w:hAnsi="Arial"/>
          <w:b/>
          <w:bCs/>
          <w:color w:val="8C3A3A"/>
          <w:sz w:val="22"/>
          <w:szCs w:val="22"/>
        </w:rPr>
        <w:t xml:space="preserve">Problème 1 — Volume insuffisant : </w:t>
      </w:r>
      <w:r>
        <w:rPr>
          <w:rFonts w:ascii="Arial" w:cs="Arial" w:eastAsia="Arial" w:hAnsi="Arial"/>
          <w:color w:val="1A1714"/>
          <w:sz w:val="22"/>
          <w:szCs w:val="22"/>
        </w:rPr>
        <w:t xml:space="preserve">3 témoignages pour «15+» partenaires, c’est un ratio de 20%. Où sont les 12 autres voix ? Le cerveau du prospect fait le calcul inconsciemment. 3 témoignages, ça peut être du cherry-picking. 10+, c’est une tendance irréfutable.</w:t>
      </w:r>
    </w:p>
    <w:p>
      <w:pPr>
        <w:spacing w:after="160" w:line="320"/>
      </w:pPr>
      <w:r>
        <w:rPr>
          <w:rFonts w:ascii="Arial" w:cs="Arial" w:eastAsia="Arial" w:hAnsi="Arial"/>
          <w:b/>
          <w:bCs/>
          <w:color w:val="8C3A3A"/>
          <w:sz w:val="22"/>
          <w:szCs w:val="22"/>
        </w:rPr>
        <w:t xml:space="preserve">Problème 2 — Absence de preuve visuelle : </w:t>
      </w:r>
      <w:r>
        <w:rPr>
          <w:rFonts w:ascii="Arial" w:cs="Arial" w:eastAsia="Arial" w:hAnsi="Arial"/>
          <w:color w:val="1A1714"/>
          <w:sz w:val="22"/>
          <w:szCs w:val="22"/>
        </w:rPr>
        <w:t xml:space="preserve">Il n’y a aucune photo de dessert servi en situation réelle (dans une assiette, sur une table de restaurant, devant un client). Toutes les photos sont des prises de vue studio sur fond neutre. C’est parfait pour un catalogue, insuffisant pour la preuve sociale. Le prospect veut se projeter dans SON établissement.</w:t>
      </w:r>
    </w:p>
    <w:p>
      <w:pPr>
        <w:spacing w:after="160" w:line="320"/>
      </w:pPr>
      <w:r>
        <w:rPr>
          <w:rFonts w:ascii="Arial" w:cs="Arial" w:eastAsia="Arial" w:hAnsi="Arial"/>
          <w:b/>
          <w:bCs/>
          <w:color w:val="8C3A3A"/>
          <w:sz w:val="22"/>
          <w:szCs w:val="22"/>
        </w:rPr>
        <w:t xml:space="preserve">Problème 3 — Zero UGC (User-Generated Content) : </w:t>
      </w:r>
      <w:r>
        <w:rPr>
          <w:rFonts w:ascii="Arial" w:cs="Arial" w:eastAsia="Arial" w:hAnsi="Arial"/>
          <w:color w:val="1A1714"/>
          <w:sz w:val="22"/>
          <w:szCs w:val="22"/>
        </w:rPr>
        <w:t xml:space="preserve">Pour un produit dont le pitch est «le dessert que vos clients filment», il n’y a aucune vidéo ou photo de clients réels en train de filmer. Zéro embed Instagram. Zéro feed TikTok. C’est une contradiction stratégique majeure.</w:t>
      </w:r>
    </w:p>
    <w:p>
      <w:pPr>
        <w:spacing w:after="160" w:line="320"/>
      </w:pPr>
      <w:r>
        <w:rPr>
          <w:rFonts w:ascii="Arial" w:cs="Arial" w:eastAsia="Arial" w:hAnsi="Arial"/>
          <w:b/>
          <w:bCs/>
          <w:color w:val="4A7C59"/>
          <w:sz w:val="22"/>
          <w:szCs w:val="22"/>
        </w:rPr>
        <w:t xml:space="preserve">Recommandation : </w:t>
      </w:r>
      <w:r>
        <w:rPr>
          <w:rFonts w:ascii="Arial" w:cs="Arial" w:eastAsia="Arial" w:hAnsi="Arial"/>
          <w:color w:val="1A1714"/>
          <w:sz w:val="22"/>
          <w:szCs w:val="22"/>
        </w:rPr>
        <w:t xml:space="preserve">Créer une section «Sur le terrain» avec un feed Instagram/TikTok intégré (Elfsight ou similaire). Collecter systématiquement les témoignages des 15+ partenaires. Ajouter des photos in-situ (assiettes dressées, tables de restaurant, réactions de clients).</w:t>
      </w:r>
    </w:p>
    <w:p>
      <w:pPr>
        <w:pStyle w:val="Heading2"/>
      </w:pPr>
      <w:r>
        <w:t xml:space="preserve">4.2 Levier de rareté</w:t>
      </w:r>
    </w:p>
    <w:p>
      <w:pPr>
        <w:spacing w:after="160" w:line="320"/>
      </w:pPr>
      <w:r>
        <w:rPr>
          <w:rFonts w:ascii="Arial" w:cs="Arial" w:eastAsia="Arial" w:hAnsi="Arial"/>
          <w:color w:val="1A1714"/>
          <w:sz w:val="22"/>
          <w:szCs w:val="22"/>
        </w:rPr>
        <w:t xml:space="preserve">Des badges «Bestseller», «Nouveau», «Grand Cru», «Saison été» et «Série limitée» sont présents sur les cartes produit. C’est un bon début.</w:t>
      </w:r>
    </w:p>
    <w:p>
      <w:pPr>
        <w:spacing w:after="160" w:line="320"/>
      </w:pPr>
      <w:r>
        <w:rPr>
          <w:rFonts w:ascii="Arial" w:cs="Arial" w:eastAsia="Arial" w:hAnsi="Arial"/>
          <w:b/>
          <w:bCs/>
          <w:color w:val="8C3A3A"/>
          <w:sz w:val="22"/>
          <w:szCs w:val="22"/>
        </w:rPr>
        <w:t xml:space="preserve">Problème : </w:t>
      </w:r>
      <w:r>
        <w:rPr>
          <w:rFonts w:ascii="Arial" w:cs="Arial" w:eastAsia="Arial" w:hAnsi="Arial"/>
          <w:color w:val="1A1714"/>
          <w:sz w:val="22"/>
          <w:szCs w:val="22"/>
        </w:rPr>
        <w:t xml:space="preserve">Les badges sont statiques et non quantifiés. «Série limitée» ne dit rien si on ne sait pas à combien. «Saison été» est informatif mais ne crée pas d’urgence. Il n’y a aucun compteur, aucune date limite, aucun «plus que X disponibles».</w:t>
      </w:r>
    </w:p>
    <w:p>
      <w:pPr>
        <w:spacing w:after="160" w:line="320"/>
      </w:pPr>
      <w:r>
        <w:rPr>
          <w:rFonts w:ascii="Arial" w:cs="Arial" w:eastAsia="Arial" w:hAnsi="Arial"/>
          <w:b/>
          <w:bCs/>
          <w:color w:val="4A7C59"/>
          <w:sz w:val="22"/>
          <w:szCs w:val="22"/>
        </w:rPr>
        <w:t xml:space="preserve">Recommandation : </w:t>
      </w:r>
      <w:r>
        <w:rPr>
          <w:rFonts w:ascii="Arial" w:cs="Arial" w:eastAsia="Arial" w:hAnsi="Arial"/>
          <w:color w:val="1A1714"/>
          <w:sz w:val="22"/>
          <w:szCs w:val="22"/>
        </w:rPr>
        <w:t xml:space="preserve">Quantifier la rareté : «Édition limitée — 200 pièces ce mois». Ajouter la saisonnalité avec urgence : «Disponible jusqu’en septembre». Tester un compteur dynamique de commandes récentes («Full Dessert a commandé 50 pièces il y a 2h» — type Booking.com).</w:t>
      </w:r>
    </w:p>
    <w:p>
      <w:pPr>
        <w:pStyle w:val="Heading2"/>
      </w:pPr>
      <w:r>
        <w:t xml:space="preserve">4.3 Levier d’autorité</w:t>
      </w:r>
    </w:p>
    <w:p>
      <w:pPr>
        <w:spacing w:after="160" w:line="320"/>
      </w:pPr>
      <w:r>
        <w:rPr>
          <w:rFonts w:ascii="Arial" w:cs="Arial" w:eastAsia="Arial" w:hAnsi="Arial"/>
          <w:color w:val="1A1714"/>
          <w:sz w:val="22"/>
          <w:szCs w:val="22"/>
        </w:rPr>
        <w:t xml:space="preserve">Le fondateur Hamza Hamdi a sa section dédiée avec portrait, titre («Créateur de Mirages · Chef Pâtissier &amp; Co-fondateur») et bio. C’est bien, mais insuffisant pour établir une autorité sectorielle.</w:t>
      </w:r>
    </w:p>
    <w:p>
      <w:pPr>
        <w:spacing w:after="160" w:line="320"/>
      </w:pPr>
      <w:r>
        <w:rPr>
          <w:rFonts w:ascii="Arial" w:cs="Arial" w:eastAsia="Arial" w:hAnsi="Arial"/>
          <w:b/>
          <w:bCs/>
          <w:color w:val="8C3A3A"/>
          <w:sz w:val="22"/>
          <w:szCs w:val="22"/>
        </w:rPr>
        <w:t xml:space="preserve">Problème : </w:t>
      </w:r>
      <w:r>
        <w:rPr>
          <w:rFonts w:ascii="Arial" w:cs="Arial" w:eastAsia="Arial" w:hAnsi="Arial"/>
          <w:color w:val="1A1714"/>
          <w:sz w:val="22"/>
          <w:szCs w:val="22"/>
        </w:rPr>
        <w:t xml:space="preserve">Aucune mention de formation spécifique, de prix, de passage dans un établissement reconnu, ou de couverture médiatique. Dans le luxe alimentaire, le pedigree du chef est un facteur de conversion majeur. Le prospect doit se dire «ce type sait ce qu’il fait» avant de lire quoi que ce soit d’autre.</w:t>
      </w:r>
    </w:p>
    <w:p>
      <w:pPr>
        <w:spacing w:after="160" w:line="320"/>
      </w:pPr>
      <w:r>
        <w:rPr>
          <w:rFonts w:ascii="Arial" w:cs="Arial" w:eastAsia="Arial" w:hAnsi="Arial"/>
          <w:b/>
          <w:bCs/>
          <w:color w:val="4A7C59"/>
          <w:sz w:val="22"/>
          <w:szCs w:val="22"/>
        </w:rPr>
        <w:t xml:space="preserve">Recommandation : </w:t>
      </w:r>
      <w:r>
        <w:rPr>
          <w:rFonts w:ascii="Arial" w:cs="Arial" w:eastAsia="Arial" w:hAnsi="Arial"/>
          <w:color w:val="1A1714"/>
          <w:sz w:val="22"/>
          <w:szCs w:val="22"/>
        </w:rPr>
        <w:t xml:space="preserve">Détailler le parcours : formations, expériences en établissements, compétitions, mentions presse. Si ces éléments n’existent pas encore, investir dans les obtenir (concours, presse spécialisée, collaborations avec des chefs étoilés). À court terme : ajouter «Formatrice aux techniques de la haute pâtisserie» ou toute certification vérifiable.</w:t>
      </w:r>
    </w:p>
    <w:p>
      <w:pPr>
        <w:pStyle w:val="Heading2"/>
      </w:pPr>
      <w:r>
        <w:t xml:space="preserve">4.4 Levier de désirabilité et aspiration</w:t>
      </w:r>
    </w:p>
    <w:p>
      <w:pPr>
        <w:spacing w:after="160" w:line="320"/>
      </w:pPr>
      <w:r>
        <w:rPr>
          <w:rFonts w:ascii="Arial" w:cs="Arial" w:eastAsia="Arial" w:hAnsi="Arial"/>
          <w:color w:val="1A1714"/>
          <w:sz w:val="22"/>
          <w:szCs w:val="22"/>
        </w:rPr>
        <w:t xml:space="preserve">Le positionnement prix (5-6€/pièce achat, 9-14€ revente, marge 80-180%) est transparent et convaincant. Le simulateur interactif sur la page Partenaires est un excellent outil de projection (le prospect calcule sa marge en temps réel).</w:t>
      </w:r>
    </w:p>
    <w:p>
      <w:pPr>
        <w:spacing w:after="160" w:line="320"/>
      </w:pPr>
      <w:r>
        <w:rPr>
          <w:rFonts w:ascii="Arial" w:cs="Arial" w:eastAsia="Arial" w:hAnsi="Arial"/>
          <w:b/>
          <w:bCs/>
          <w:color w:val="8C3A3A"/>
          <w:sz w:val="22"/>
          <w:szCs w:val="22"/>
        </w:rPr>
        <w:t xml:space="preserve">Problème : </w:t>
      </w:r>
      <w:r>
        <w:rPr>
          <w:rFonts w:ascii="Arial" w:cs="Arial" w:eastAsia="Arial" w:hAnsi="Arial"/>
          <w:color w:val="1A1714"/>
          <w:sz w:val="22"/>
          <w:szCs w:val="22"/>
        </w:rPr>
        <w:t xml:space="preserve">Le storytelling de désirabilité repose exclusivement sur le produit. Il n’y a pas de récit de marque aspirationnel plus large. Pourquoi Marseille ? Quelle est la vision à 5 ans ? Quel est le manifeste ? Les marques de luxe ne vendent pas un produit, elles vendent une appartenance.</w:t>
      </w:r>
    </w:p>
    <w:p>
      <w:pPr>
        <w:spacing w:after="160" w:line="320"/>
      </w:pPr>
      <w:r>
        <w:rPr>
          <w:rFonts w:ascii="Arial" w:cs="Arial" w:eastAsia="Arial" w:hAnsi="Arial"/>
          <w:b/>
          <w:bCs/>
          <w:color w:val="4A7C59"/>
          <w:sz w:val="22"/>
          <w:szCs w:val="22"/>
        </w:rPr>
        <w:t xml:space="preserve">Recommandation : </w:t>
      </w:r>
      <w:r>
        <w:rPr>
          <w:rFonts w:ascii="Arial" w:cs="Arial" w:eastAsia="Arial" w:hAnsi="Arial"/>
          <w:color w:val="1A1714"/>
          <w:sz w:val="22"/>
          <w:szCs w:val="22"/>
        </w:rPr>
        <w:t xml:space="preserve">Rédiger un manifeste de marque (100 mots max) visible sur la homepage. Positionner Maison Mirage non pas comme «un fournisseur de desserts» mais comme «le mouvement de la haute pâtisserie trompe-l’œil en France». Créer un sentiment d’exclusivité : «Être partenaire Mirage, c’est faire partie d’un cercle».</w:t>
      </w:r>
    </w:p>
    <w:p>
      <w:r>
        <w:br w:type="page"/>
      </w:r>
    </w:p>
    <w:p>
      <w:pPr>
        <w:pStyle w:val="Heading1"/>
      </w:pPr>
      <w:r>
        <w:t xml:space="preserve">5. ANALYSE TECHNIQUE &amp;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A8895C"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B</w:t>
            </w:r>
          </w:p>
        </w:tc>
        <w:tc>
          <w:tcPr>
            <w:tcW w:type="dxa" w:w="7960"/>
            <w:tcBorders>
              <w:top w:val="none" w:color="FFFFFF" w:sz="0"/>
              <w:left w:val="none" w:color="FFFFFF" w:sz="0"/>
              <w:bottom w:val="none" w:color="FFFFFF" w:sz="0"/>
              <w:right w:val="none" w:color="FFFFFF" w:sz="0"/>
            </w:tcBorders>
            <w:shd w:fill="F7F3EE" w:val="clear"/>
            <w:tcMar>
              <w:top w:type="dxa" w:w="120"/>
              <w:left w:type="dxa" w:w="200"/>
              <w:bottom w:type="dxa" w:w="120"/>
              <w:right w:type="dxa" w:w="120"/>
            </w:tcMar>
          </w:tcPr>
          <w:p>
            <w:r>
              <w:rPr>
                <w:rFonts w:ascii="Arial" w:cs="Arial" w:eastAsia="Arial" w:hAnsi="Arial"/>
                <w:b/>
                <w:bCs/>
                <w:color w:val="1A1714"/>
                <w:sz w:val="22"/>
                <w:szCs w:val="22"/>
              </w:rPr>
              <w:t xml:space="preserve">Fondations solides, optimisations de performance nécessaires</w:t>
            </w:r>
          </w:p>
          <w:p>
            <w:pPr>
              <w:spacing w:before="60"/>
            </w:pPr>
            <w:r>
              <w:rPr>
                <w:rFonts w:ascii="Arial" w:cs="Arial" w:eastAsia="Arial" w:hAnsi="Arial"/>
                <w:color w:val="6B6560"/>
                <w:sz w:val="20"/>
                <w:szCs w:val="20"/>
              </w:rPr>
              <w:t xml:space="preserve">Le code est propre et bien structuré. Quelques choix techniques pèsent sur la performance mobile.</w:t>
            </w:r>
          </w:p>
        </w:tc>
      </w:tr>
    </w:tbl>
    <w:p>
      <w:pPr>
        <w:spacing w:after="150"/>
      </w:pPr>
    </w:p>
    <w:p>
      <w:pPr>
        <w:pStyle w:val="Heading2"/>
      </w:pPr>
      <w:r>
        <w:t xml:space="preserve">5.1 Architecture CSS</w:t>
      </w:r>
    </w:p>
    <w:p>
      <w:pPr>
        <w:spacing w:after="160" w:line="320"/>
      </w:pPr>
      <w:r>
        <w:rPr>
          <w:rFonts w:ascii="Arial" w:cs="Arial" w:eastAsia="Arial" w:hAnsi="Arial"/>
          <w:color w:val="1A1714"/>
          <w:sz w:val="22"/>
          <w:szCs w:val="22"/>
        </w:rPr>
        <w:t xml:space="preserve">Le design system CSS est remarquablement bien organisé. Des custom properties pour tout (couleurs, typographies, spacing, shadows, motion curves, gradients). Un reset propre. Une échelle de spacing cohérente en base 8px. Des commentaires structurants. C’est du travail professionnel.</w:t>
      </w:r>
    </w:p>
    <w:p>
      <w:pPr>
        <w:spacing w:after="160" w:line="320"/>
      </w:pPr>
      <w:r>
        <w:rPr>
          <w:rFonts w:ascii="Arial" w:cs="Arial" w:eastAsia="Arial" w:hAnsi="Arial"/>
          <w:b/>
          <w:bCs/>
          <w:color w:val="8C3A3A"/>
          <w:sz w:val="22"/>
          <w:szCs w:val="22"/>
        </w:rPr>
        <w:t xml:space="preserve">Problème : </w:t>
      </w:r>
      <w:r>
        <w:rPr>
          <w:rFonts w:ascii="Arial" w:cs="Arial" w:eastAsia="Arial" w:hAnsi="Arial"/>
          <w:color w:val="1A1714"/>
          <w:sz w:val="22"/>
          <w:szCs w:val="22"/>
        </w:rPr>
        <w:t xml:space="preserve">Deux fichiers CSS chargés (styles.css à 95KB + homepage.css à 26KB) pour un total de ~121KB de CSS non minifié. Sur une connexion 3G, c’est 0.5-1s de rendering block supplémentaire. De plus, homepage.css est un extraction du style inline — ce qui suggère qu’il y a eu du CSS inline dans le HTML à un moment, potentiellement encore présent.</w:t>
      </w:r>
    </w:p>
    <w:p>
      <w:pPr>
        <w:spacing w:after="160" w:line="320"/>
      </w:pPr>
      <w:r>
        <w:rPr>
          <w:rFonts w:ascii="Arial" w:cs="Arial" w:eastAsia="Arial" w:hAnsi="Arial"/>
          <w:b/>
          <w:bCs/>
          <w:color w:val="4A7C59"/>
          <w:sz w:val="22"/>
          <w:szCs w:val="22"/>
        </w:rPr>
        <w:t xml:space="preserve">Recommandation : </w:t>
      </w:r>
      <w:r>
        <w:rPr>
          <w:rFonts w:ascii="Arial" w:cs="Arial" w:eastAsia="Arial" w:hAnsi="Arial"/>
          <w:color w:val="1A1714"/>
          <w:sz w:val="22"/>
          <w:szCs w:val="22"/>
        </w:rPr>
        <w:t xml:space="preserve">Minifier et compresser les CSS. Extraire le critical CSS inline pour le above-the-fold. Charger le reste en async. Objectif : &lt; 50KB de CSS critique, le reste en lazy-load.</w:t>
      </w:r>
    </w:p>
    <w:p>
      <w:pPr>
        <w:pStyle w:val="Heading2"/>
      </w:pPr>
      <w:r>
        <w:t xml:space="preserve">5.2 JavaScript &amp; Performance</w:t>
      </w:r>
    </w:p>
    <w:p>
      <w:pPr>
        <w:spacing w:after="160" w:line="320"/>
      </w:pPr>
      <w:r>
        <w:rPr>
          <w:rFonts w:ascii="Arial" w:cs="Arial" w:eastAsia="Arial" w:hAnsi="Arial"/>
          <w:color w:val="1A1714"/>
          <w:sz w:val="22"/>
          <w:szCs w:val="22"/>
        </w:rPr>
        <w:t xml:space="preserve">GSAP 3.12.5 + ScrollTrigger sont chargés via CDN (defer). Google Analytics est présent. Le JS inline gère les modales produit, le chatbot, les filtres catalogue, la FAQ accordion, et le lead magnet.</w:t>
      </w:r>
    </w:p>
    <w:p>
      <w:pPr>
        <w:spacing w:after="160" w:line="320"/>
      </w:pPr>
      <w:r>
        <w:rPr>
          <w:rFonts w:ascii="Arial" w:cs="Arial" w:eastAsia="Arial" w:hAnsi="Arial"/>
          <w:b/>
          <w:bCs/>
          <w:color w:val="8C3A3A"/>
          <w:sz w:val="22"/>
          <w:szCs w:val="22"/>
        </w:rPr>
        <w:t xml:space="preserve">Problème 1 : </w:t>
      </w:r>
      <w:r>
        <w:rPr>
          <w:rFonts w:ascii="Arial" w:cs="Arial" w:eastAsia="Arial" w:hAnsi="Arial"/>
          <w:color w:val="1A1714"/>
          <w:sz w:val="22"/>
          <w:szCs w:val="22"/>
        </w:rPr>
        <w:t xml:space="preserve">Le grain overlay SVG (body::after avec feTurbulence) en position fixed à z-index 9998 est un choix coûteux. Même avec will-change:auto et opacity réduite sur mobile, un filtre SVG appliqué sur l’intégralité du viewport en fixed crée un layer composite permanent qui consomme de la mémoire GPU. Sur les appareils mobile d’entrée de gamme, cela peut causer du jank au scroll.</w:t>
      </w:r>
    </w:p>
    <w:p>
      <w:pPr>
        <w:spacing w:after="160" w:line="320"/>
      </w:pPr>
      <w:r>
        <w:rPr>
          <w:rFonts w:ascii="Arial" w:cs="Arial" w:eastAsia="Arial" w:hAnsi="Arial"/>
          <w:b/>
          <w:bCs/>
          <w:color w:val="8C3A3A"/>
          <w:sz w:val="22"/>
          <w:szCs w:val="22"/>
        </w:rPr>
        <w:t xml:space="preserve">Problème 2 : </w:t>
      </w:r>
      <w:r>
        <w:rPr>
          <w:rFonts w:ascii="Arial" w:cs="Arial" w:eastAsia="Arial" w:hAnsi="Arial"/>
          <w:color w:val="1A1714"/>
          <w:sz w:val="22"/>
          <w:szCs w:val="22"/>
        </w:rPr>
        <w:t xml:space="preserve">Le hero charge une vidéo en autoplay (peche-decoupe.mp4) ET une image poster. Sur mobile LTE, la vidéo peut prendre 3-5s à démarrer, laissant un poster statique qui ne communique pas la valeur du trompe-l’œil. De plus, la même vidéo est chargée une seconde fois dans la section «Moment Mirage» (id=«revelVideo»), ce qui double la bande passante vidéo.</w:t>
      </w:r>
    </w:p>
    <w:p>
      <w:pPr>
        <w:spacing w:after="160" w:line="320"/>
      </w:pPr>
      <w:r>
        <w:rPr>
          <w:rFonts w:ascii="Arial" w:cs="Arial" w:eastAsia="Arial" w:hAnsi="Arial"/>
          <w:b/>
          <w:bCs/>
          <w:color w:val="4A7C59"/>
          <w:sz w:val="22"/>
          <w:szCs w:val="22"/>
        </w:rPr>
        <w:t xml:space="preserve">Recommandation : </w:t>
      </w:r>
      <w:r>
        <w:rPr>
          <w:rFonts w:ascii="Arial" w:cs="Arial" w:eastAsia="Arial" w:hAnsi="Arial"/>
          <w:color w:val="1A1714"/>
          <w:sz w:val="22"/>
          <w:szCs w:val="22"/>
        </w:rPr>
        <w:t xml:space="preserve">1) Remplacer le grain SVG par une image grain.png tileée (beaucoup plus légère en GPU). 2) Servir la vidéo via un poster animé WebP ou un GIF optimisé pour les 3 premières secondes, puis lazy-load la vidéo complète. 3) Utiliser une seule instance vidéo et la référencer dans les deux sections.</w:t>
      </w:r>
    </w:p>
    <w:p>
      <w:pPr>
        <w:pStyle w:val="Heading2"/>
      </w:pPr>
      <w:r>
        <w:t xml:space="preserve">5.3 Responsive &amp; Mobile</w:t>
      </w:r>
    </w:p>
    <w:p>
      <w:pPr>
        <w:spacing w:after="160" w:line="320"/>
      </w:pPr>
      <w:r>
        <w:rPr>
          <w:rFonts w:ascii="Arial" w:cs="Arial" w:eastAsia="Arial" w:hAnsi="Arial"/>
          <w:color w:val="1A1714"/>
          <w:sz w:val="22"/>
          <w:szCs w:val="22"/>
        </w:rPr>
        <w:t xml:space="preserve">Les breakpoints sont bien gérés : le burger apparaît sous 769px, la grille catalogue passe en scroll horizontal sur mobile avec un «hint» («Glisser pour explorer»). Les tailles de police utilisent clamp() pour une mise à l’échelle fluide. Les CTA respectent une min-height de 48px (conformité loi de Fitts / guidelines touch target).</w:t>
      </w:r>
    </w:p>
    <w:p>
      <w:pPr>
        <w:spacing w:after="160" w:line="320"/>
      </w:pPr>
      <w:r>
        <w:rPr>
          <w:rFonts w:ascii="Arial" w:cs="Arial" w:eastAsia="Arial" w:hAnsi="Arial"/>
          <w:b/>
          <w:bCs/>
          <w:color w:val="8C3A3A"/>
          <w:sz w:val="22"/>
          <w:szCs w:val="22"/>
        </w:rPr>
        <w:t xml:space="preserve">Problème : </w:t>
      </w:r>
      <w:r>
        <w:rPr>
          <w:rFonts w:ascii="Arial" w:cs="Arial" w:eastAsia="Arial" w:hAnsi="Arial"/>
          <w:color w:val="1A1714"/>
          <w:sz w:val="22"/>
          <w:szCs w:val="22"/>
        </w:rPr>
        <w:t xml:space="preserve">La grille produit en scroll horizontal sur mobile est un pattern risqué. Les études UX montrent que le scroll horizontal est le pattern le moins découvert par les utilisateurs mobiles («55% des utilisateurs ne découvrent pas le contenu hors-écran» — NN Group). Le hint textuel «Glisser pour explorer» atténue le problème mais ne le résout pas.</w:t>
      </w:r>
    </w:p>
    <w:p>
      <w:pPr>
        <w:spacing w:after="160" w:line="320"/>
      </w:pPr>
      <w:r>
        <w:rPr>
          <w:rFonts w:ascii="Arial" w:cs="Arial" w:eastAsia="Arial" w:hAnsi="Arial"/>
          <w:b/>
          <w:bCs/>
          <w:color w:val="4A7C59"/>
          <w:sz w:val="22"/>
          <w:szCs w:val="22"/>
        </w:rPr>
        <w:t xml:space="preserve">Recommandation : </w:t>
      </w:r>
      <w:r>
        <w:rPr>
          <w:rFonts w:ascii="Arial" w:cs="Arial" w:eastAsia="Arial" w:hAnsi="Arial"/>
          <w:color w:val="1A1714"/>
          <w:sz w:val="22"/>
          <w:szCs w:val="22"/>
        </w:rPr>
        <w:t xml:space="preserve">Sur mobile, passer la grille produit en stack vertical (1 colonne, 2 max) plutôt qu’en scroll horizontal. Limiter l’affichage à 4-6 produits avec un bouton «Voir toute la collection». Cela augmente la découvrabilité et le taux de clic produit.</w:t>
      </w:r>
    </w:p>
    <w:p>
      <w:pPr>
        <w:pStyle w:val="Heading2"/>
      </w:pPr>
      <w:r>
        <w:t xml:space="preserve">5.4 SEO Technique</w:t>
      </w:r>
    </w:p>
    <w:p>
      <w:pPr>
        <w:spacing w:after="160" w:line="320"/>
      </w:pPr>
      <w:r>
        <w:rPr>
          <w:rFonts w:ascii="Arial" w:cs="Arial" w:eastAsia="Arial" w:hAnsi="Arial"/>
          <w:color w:val="1A1714"/>
          <w:sz w:val="22"/>
          <w:szCs w:val="22"/>
        </w:rPr>
        <w:t xml:space="preserve">Le SEO on-page est bien traité : balises title et meta description optimisées, structured data (LocalBusiness + FAQPage), canonical URL, Open Graph complet, sitemap.xml présent, robots.txt configuré. Les pages produit individuelles créent de bons points d’entrée.</w:t>
      </w:r>
    </w:p>
    <w:p>
      <w:pPr>
        <w:spacing w:after="160" w:line="320"/>
      </w:pPr>
      <w:r>
        <w:rPr>
          <w:rFonts w:ascii="Arial" w:cs="Arial" w:eastAsia="Arial" w:hAnsi="Arial"/>
          <w:b/>
          <w:bCs/>
          <w:color w:val="8C3A3A"/>
          <w:sz w:val="22"/>
          <w:szCs w:val="22"/>
        </w:rPr>
        <w:t xml:space="preserve">Problème : </w:t>
      </w:r>
      <w:r>
        <w:rPr>
          <w:rFonts w:ascii="Arial" w:cs="Arial" w:eastAsia="Arial" w:hAnsi="Arial"/>
          <w:color w:val="1A1714"/>
          <w:sz w:val="22"/>
          <w:szCs w:val="22"/>
        </w:rPr>
        <w:t xml:space="preserve">Aucune stratégie de contenu SEO. Pas de blog, pas de pages de landing géociblées («pâtisserie trompe-l’œil Marseille», «dessert B2B haut de gamme»), pas de pages FAQ séparées indexables. Le potentiel de longue traîne est inexploité.</w:t>
      </w:r>
    </w:p>
    <w:p>
      <w:r>
        <w:br w:type="page"/>
      </w:r>
    </w:p>
    <w:p>
      <w:pPr>
        <w:pStyle w:val="Heading1"/>
      </w:pPr>
      <w:r>
        <w:t xml:space="preserve">6. QUICK WINS &amp; ROADMAP STRATÉGIQUE</w:t>
      </w:r>
    </w:p>
    <w:p>
      <w:pPr>
        <w:spacing w:after="100"/>
      </w:pPr>
    </w:p>
    <w:p>
      <w:pPr>
        <w:pStyle w:val="Heading2"/>
      </w:pPr>
      <w:r>
        <w:t xml:space="preserve">6.1 — 5 Quick Wins (à fort impact, implémentables en &lt; 1 semaine)</w:t>
      </w:r>
    </w:p>
    <w:p>
      <w:pPr>
        <w:spacing w:after="50"/>
      </w:pPr>
    </w:p>
    <w:p>
      <w:pPr>
        <w:pStyle w:val="Heading3"/>
      </w:pPr>
      <w:r>
        <w:t xml:space="preserve">QW1. Varier le wording des CTA</w:t>
      </w:r>
    </w:p>
    <w:p>
      <w:pPr>
        <w:spacing w:after="160" w:line="320"/>
      </w:pPr>
      <w:r>
        <w:rPr>
          <w:rFonts w:ascii="Arial" w:cs="Arial" w:eastAsia="Arial" w:hAnsi="Arial"/>
          <w:color w:val="1A1714"/>
          <w:sz w:val="22"/>
          <w:szCs w:val="22"/>
        </w:rPr>
        <w:t xml:space="preserve">Remplacer les 6 «Devenir partenaire» identiques par des CTA contextuels : «Rejoindre le cercle» (après témoignages), «Commander ma dégustation gratuite» (après tarifs), «Recevoir un devis en 24h» (après catalogue). Impact : +15-25% CTR estimé sur les CTA secondaires.</w:t>
      </w:r>
    </w:p>
    <w:p>
      <w:pPr>
        <w:pStyle w:val="Heading3"/>
      </w:pPr>
      <w:r>
        <w:t xml:space="preserve">QW2. Épurer la homepage à 7 sections</w:t>
      </w:r>
    </w:p>
    <w:p>
      <w:pPr>
        <w:spacing w:after="160" w:line="320"/>
      </w:pPr>
      <w:r>
        <w:rPr>
          <w:rFonts w:ascii="Arial" w:cs="Arial" w:eastAsia="Arial" w:hAnsi="Arial"/>
          <w:color w:val="1A1714"/>
          <w:sz w:val="22"/>
          <w:szCs w:val="22"/>
        </w:rPr>
        <w:t xml:space="preserve">Supprimer la section parallaxe «Le Standard Mirage» (redondante avec les garanties), la section fondateur (renvoyer vers «Notre Histoire»), et le lead magnet (intégrer au footer ou à la page Partenaires). Impact : réduction de 30% du scroll, densification de la valeur perçue.</w:t>
      </w:r>
    </w:p>
    <w:p>
      <w:pPr>
        <w:pStyle w:val="Heading3"/>
      </w:pPr>
      <w:r>
        <w:t xml:space="preserve">QW3. Ajouter des photos in-situ</w:t>
      </w:r>
    </w:p>
    <w:p>
      <w:pPr>
        <w:spacing w:after="160" w:line="320"/>
      </w:pPr>
      <w:r>
        <w:rPr>
          <w:rFonts w:ascii="Arial" w:cs="Arial" w:eastAsia="Arial" w:hAnsi="Arial"/>
          <w:color w:val="1A1714"/>
          <w:sz w:val="22"/>
          <w:szCs w:val="22"/>
        </w:rPr>
        <w:t xml:space="preserve">Intégrer 3-5 photos de desserts Mirage servis en situation réelle (assiettes dressées, tables, réactions). Les positionner dans la section témoignages. Impact : renforcement massif de la projection et de la preuve sociale visuelle.</w:t>
      </w:r>
    </w:p>
    <w:p>
      <w:pPr>
        <w:pStyle w:val="Heading3"/>
      </w:pPr>
      <w:r>
        <w:t xml:space="preserve">QW4. Corriger le contraste des CTA</w:t>
      </w:r>
    </w:p>
    <w:p>
      <w:pPr>
        <w:spacing w:after="160" w:line="320"/>
      </w:pPr>
      <w:r>
        <w:rPr>
          <w:rFonts w:ascii="Arial" w:cs="Arial" w:eastAsia="Arial" w:hAnsi="Arial"/>
          <w:color w:val="1A1714"/>
          <w:sz w:val="22"/>
          <w:szCs w:val="22"/>
        </w:rPr>
        <w:t xml:space="preserve">Passer le bouton primaire de fond doré (#A8895C) + texte blanc à fond encre (#1A1714) + texte crème pour les CTA de conversion, en gardant le doré pour les éléments de prestige. Impact : conformité WCAG AA, +10-15% de visibilité CTA.</w:t>
      </w:r>
    </w:p>
    <w:p>
      <w:pPr>
        <w:pStyle w:val="Heading3"/>
      </w:pPr>
      <w:r>
        <w:t xml:space="preserve">QW5. Supprimer le double chargement vidéo</w:t>
      </w:r>
    </w:p>
    <w:p>
      <w:pPr>
        <w:spacing w:after="160" w:line="320"/>
      </w:pPr>
      <w:r>
        <w:rPr>
          <w:rFonts w:ascii="Arial" w:cs="Arial" w:eastAsia="Arial" w:hAnsi="Arial"/>
          <w:color w:val="1A1714"/>
          <w:sz w:val="22"/>
          <w:szCs w:val="22"/>
        </w:rPr>
        <w:t xml:space="preserve">La vidéo peche-decoupe.mp4 est chargée deux fois (hero + section Moment Mirage). Référencer une seule instance ou lazy-loader la seconde. Ajouter une image grain.png tileée pour remplacer le filtre SVG coûteux. Impact : -30-40% de bande passante vidéo, meilleur Time To Interactive sur mobile.</w:t>
      </w:r>
    </w:p>
    <w:p>
      <w:pPr>
        <w:spacing w:after="200"/>
      </w:pPr>
    </w:p>
    <w:p>
      <w:pPr>
        <w:pStyle w:val="Heading2"/>
      </w:pPr>
      <w:r>
        <w:t xml:space="preserve">6.2 — 3 Recommandations Stratégiques (horizon 2-6 mois)</w:t>
      </w:r>
    </w:p>
    <w:p>
      <w:pPr>
        <w:spacing w:after="50"/>
      </w:pPr>
    </w:p>
    <w:p>
      <w:pPr>
        <w:pStyle w:val="Heading3"/>
      </w:pPr>
      <w:r>
        <w:t xml:space="preserve">RS1. Créer l’expérience «Mirage» numérique</w:t>
      </w:r>
    </w:p>
    <w:p>
      <w:pPr>
        <w:spacing w:after="160" w:line="320"/>
      </w:pPr>
      <w:r>
        <w:rPr>
          <w:rFonts w:ascii="Arial" w:cs="Arial" w:eastAsia="Arial" w:hAnsi="Arial"/>
          <w:color w:val="1A1714"/>
          <w:sz w:val="22"/>
          <w:szCs w:val="22"/>
        </w:rPr>
        <w:t xml:space="preserve">Investir dans une refonte interactive du hero et du parcours de découverte. Le site doit incarner son propre concept : transitions morphing fruit → pâtisserie au scroll, cursor custom, page transitions animées, expérience ASMR immersive. S’inspirer de l’expérience digitale d’Aesop, Le Labo, ou Pierre Hermé. Budget estimé : 5-15K€ pour un développeur créatif (Awwwards-level). ROI : différenciation absolue, viralisation du site lui-même.</w:t>
      </w:r>
    </w:p>
    <w:p>
      <w:pPr>
        <w:pStyle w:val="Heading3"/>
      </w:pPr>
      <w:r>
        <w:t xml:space="preserve">RS2. Bâtir une machine de preuve sociale</w:t>
      </w:r>
    </w:p>
    <w:p>
      <w:pPr>
        <w:spacing w:after="160" w:line="320"/>
      </w:pPr>
      <w:r>
        <w:rPr>
          <w:rFonts w:ascii="Arial" w:cs="Arial" w:eastAsia="Arial" w:hAnsi="Arial"/>
          <w:color w:val="1A1714"/>
          <w:sz w:val="22"/>
          <w:szCs w:val="22"/>
        </w:rPr>
        <w:t xml:space="preserve">Collecter systématiquement : 1) Témoignages vidéo de chaque partenaire (30-60s, filmé au smartphone). 2) UGC Instagram/TikTok agregé en feed dynamique sur le site. 3) Métriques d’impact par partenaire (avant/après ticket moyen, volume Instagram). 4) Coverage presse spécialisée et influenceurs food. Objectif : transformer le «15+ partenaires» en 50+ témoignages multi-formats. Budget : 2-5K€ (vidéographe freelance + outil UGC).</w:t>
      </w:r>
    </w:p>
    <w:p>
      <w:pPr>
        <w:pStyle w:val="Heading3"/>
      </w:pPr>
      <w:r>
        <w:t xml:space="preserve">RS3. Lancer le «Mirage Club» comme levier de rétention et d’exclusivité</w:t>
      </w:r>
    </w:p>
    <w:p>
      <w:pPr>
        <w:spacing w:after="160" w:line="320"/>
      </w:pPr>
      <w:r>
        <w:rPr>
          <w:rFonts w:ascii="Arial" w:cs="Arial" w:eastAsia="Arial" w:hAnsi="Arial"/>
          <w:color w:val="1A1714"/>
          <w:sz w:val="22"/>
          <w:szCs w:val="22"/>
        </w:rPr>
        <w:t xml:space="preserve">Le document mirage-club.pdf dans le dossier montre qu’un programme de fidélité/exclusivité est déjà conceptualisé. L’implémenter comme un vrai programme : accès prioritaire aux séries limitées, invitation aux avant-premières de nouvelles créations, contenu exclusif (recettes, behind-the-scenes). Cela crée un sentiment d’appartenance et transforme les partenaires en ambassadeurs. Le CTA «Rejoindre le Mirage Club» remplace «Devenir partenaire» pour une connotation infiniment plus aspirationnelle.</w:t>
      </w:r>
    </w:p>
    <w:p>
      <w:pPr>
        <w:spacing w:after="300"/>
      </w:pPr>
    </w:p>
    <w:p>
      <w:pPr>
        <w:pBdr>
          <w:bottom w:val="single" w:color="A8895C" w:sz="6"/>
        </w:pBdr>
        <w:spacing w:after="300" w:before="300"/>
      </w:pPr>
    </w:p>
    <w:p>
      <w:pPr>
        <w:spacing w:after="100"/>
      </w:pPr>
    </w:p>
    <w:p>
      <w:pPr>
        <w:pStyle w:val="Heading1"/>
      </w:pPr>
      <w:r>
        <w:t xml:space="preserve">CONCLUSION</w:t>
      </w:r>
    </w:p>
    <w:p>
      <w:pPr>
        <w:spacing w:after="160" w:line="320"/>
      </w:pPr>
      <w:r>
        <w:rPr>
          <w:rFonts w:ascii="Arial" w:cs="Arial" w:eastAsia="Arial" w:hAnsi="Arial"/>
          <w:color w:val="1A1714"/>
          <w:sz w:val="22"/>
          <w:szCs w:val="22"/>
        </w:rPr>
        <w:t xml:space="preserve">Maison Mirage est à un point d’inflexion. Le produit est exceptionnel. La direction artistique est légitime dans le segment luxe. Le design system CSS est d’un niveau professionnel supérieur. Les fondations techniques sont solides.</w:t>
      </w:r>
    </w:p>
    <w:p>
      <w:pPr>
        <w:spacing w:after="160" w:line="320"/>
      </w:pPr>
      <w:r>
        <w:rPr>
          <w:rFonts w:ascii="Arial" w:cs="Arial" w:eastAsia="Arial" w:hAnsi="Arial"/>
          <w:color w:val="1A1714"/>
          <w:sz w:val="22"/>
          <w:szCs w:val="22"/>
        </w:rPr>
        <w:t xml:space="preserve">Ce qui manque, c’est l’intensité. L’intensité de la conversion (CTA monotones, tunnel trop long). L’intensité de la preuve sociale (3 témoignages pour 15+ partenaires). L’intensité de l’expérience numérique (un site qui s’appelle «Mirage» mais ne crée aucune illusion à l’écran).</w:t>
      </w:r>
    </w:p>
    <w:p>
      <w:pPr>
        <w:spacing w:after="160" w:line="320"/>
      </w:pPr>
      <w:r>
        <w:rPr>
          <w:rFonts w:ascii="Arial" w:cs="Arial" w:eastAsia="Arial" w:hAnsi="Arial"/>
          <w:b/>
          <w:bCs/>
          <w:color w:val="1A1714"/>
          <w:sz w:val="22"/>
          <w:szCs w:val="22"/>
        </w:rPr>
        <w:t xml:space="preserve">Le potentiel est immense. </w:t>
      </w:r>
      <w:r>
        <w:rPr>
          <w:rFonts w:ascii="Arial" w:cs="Arial" w:eastAsia="Arial" w:hAnsi="Arial"/>
          <w:color w:val="1A1714"/>
          <w:sz w:val="22"/>
          <w:szCs w:val="22"/>
        </w:rPr>
        <w:t xml:space="preserve">Ce site peut devenir la référence mondiale de la haute pâtisserie trompe-l’œil en ligne. Pour cela, il doit passer de «belle vitrine contemplative» à «expérience immersive qui convertit». Les quick wins sont immédiats. Les recommandations stratégiques sont le chemin vers l’excellence.</w:t>
      </w:r>
    </w:p>
    <w:p>
      <w:pPr>
        <w:spacing w:after="400"/>
      </w:pPr>
    </w:p>
    <w:p>
      <w:pPr>
        <w:jc w:val="center"/>
      </w:pPr>
      <w:r>
        <w:rPr>
          <w:rFonts w:ascii="Arial" w:cs="Arial" w:eastAsia="Arial" w:hAnsi="Arial"/>
          <w:i/>
          <w:iCs/>
          <w:color w:val="6B6560"/>
          <w:sz w:val="20"/>
          <w:szCs w:val="20"/>
        </w:rPr>
        <w:t xml:space="preserve">— Fin du rapport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560"/>
        <w:sz w:val="16"/>
        <w:szCs w:val="16"/>
      </w:rPr>
      <w:t xml:space="preserve">Page </w:t>
    </w:r>
    <w:r>
      <w:rPr>
        <w:rFonts w:ascii="Arial" w:cs="Arial" w:eastAsia="Arial" w:hAnsi="Arial"/>
        <w:color w:val="6B65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D5B8" w:sz="2"/>
      </w:pBdr>
      <w:tabs>
        <w:tab w:val="right" w:pos="9026"/>
      </w:tabs>
      <w:spacing w:after="200"/>
    </w:pPr>
    <w:r>
      <w:rPr>
        <w:rFonts w:ascii="Arial" w:cs="Arial" w:eastAsia="Arial" w:hAnsi="Arial"/>
        <w:b/>
        <w:bCs/>
        <w:color w:val="A8895C"/>
        <w:sz w:val="16"/>
        <w:szCs w:val="16"/>
      </w:rPr>
      <w:t xml:space="preserve">AUDIT 360° — MAISON MIRAGE</w:t>
    </w:r>
    <w:r>
      <w:rPr>
        <w:rFonts w:ascii="Arial" w:cs="Arial" w:eastAsia="Arial" w:hAnsi="Arial"/>
        <w:color w:val="6B6560"/>
        <w:sz w:val="16"/>
        <w:szCs w:val="16"/>
      </w:rPr>
      <w:t xml:space="preserv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71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A889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7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2026-03-15T15:38:27.269Z</dcterms:created>
  <dcterms:modified xsi:type="dcterms:W3CDTF">2026-03-15T15:38:27.270Z</dcterms:modified>
</cp:coreProperties>
</file>

<file path=docProps/custom.xml><?xml version="1.0" encoding="utf-8"?>
<Properties xmlns="http://schemas.openxmlformats.org/officeDocument/2006/custom-properties" xmlns:vt="http://schemas.openxmlformats.org/officeDocument/2006/docPropsVTypes"/>
</file>