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Georgia" w:cs="Georgia" w:eastAsia="Georgia" w:hAnsi="Georgia"/>
          <w:color w:val="A8895C"/>
          <w:sz w:val="20"/>
          <w:szCs w:val="20"/>
        </w:rPr>
        <w:t xml:space="preserve">MAISON MIRAGE</w:t>
      </w:r>
    </w:p>
    <w:p>
      <w:pPr>
        <w:pBdr>
          <w:bottom w:val="single" w:color="A8895C" w:sz="2" w:space="20"/>
        </w:pBdr>
        <w:spacing w:after="0"/>
        <w:jc w:val="center"/>
      </w:pPr>
    </w:p>
    <w:p>
      <w:pPr>
        <w:spacing w:before="400"/>
      </w:pPr>
    </w:p>
    <w:p>
      <w:pPr>
        <w:spacing w:after="200"/>
        <w:jc w:val="center"/>
      </w:pPr>
      <w:r>
        <w:rPr>
          <w:rFonts w:ascii="Georgia" w:cs="Georgia" w:eastAsia="Georgia" w:hAnsi="Georgia"/>
          <w:b/>
          <w:bCs/>
          <w:color w:val="1A1714"/>
          <w:sz w:val="56"/>
          <w:szCs w:val="56"/>
        </w:rPr>
        <w:t xml:space="preserve">AUDIT 360°</w:t>
      </w:r>
    </w:p>
    <w:p>
      <w:pPr>
        <w:spacing w:after="100"/>
        <w:jc w:val="center"/>
      </w:pPr>
      <w:r>
        <w:rPr>
          <w:rFonts w:ascii="Arial" w:cs="Arial" w:eastAsia="Arial" w:hAnsi="Arial"/>
          <w:color w:val="6B6560"/>
          <w:sz w:val="24"/>
          <w:szCs w:val="24"/>
        </w:rPr>
        <w:t xml:space="preserve">Design System · UX/UI · Marketing · CRO</w:t>
      </w:r>
    </w:p>
    <w:p>
      <w:pPr>
        <w:spacing w:before="300"/>
      </w:pPr>
    </w:p>
    <w:p>
      <w:pPr>
        <w:pBdr>
          <w:bottom w:val="single" w:color="A8895C" w:sz="2" w:space="20"/>
        </w:pBdr>
        <w:spacing w:after="0"/>
        <w:jc w:val="center"/>
      </w:pPr>
    </w:p>
    <w:p>
      <w:pPr>
        <w:spacing w:before="400"/>
      </w:pPr>
    </w:p>
    <w:p>
      <w:pPr>
        <w:spacing w:after="80"/>
        <w:jc w:val="center"/>
      </w:pPr>
      <w:r>
        <w:rPr>
          <w:rFonts w:ascii="Arial" w:cs="Arial" w:eastAsia="Arial" w:hAnsi="Arial"/>
          <w:color w:val="A8895C"/>
          <w:sz w:val="22"/>
          <w:szCs w:val="22"/>
        </w:rPr>
        <w:t xml:space="preserve">lamaisonmirage.com</w:t>
      </w:r>
    </w:p>
    <w:p>
      <w:pPr>
        <w:spacing w:after="80"/>
        <w:jc w:val="center"/>
      </w:pPr>
      <w:r>
        <w:rPr>
          <w:rFonts w:ascii="Arial" w:cs="Arial" w:eastAsia="Arial" w:hAnsi="Arial"/>
          <w:color w:val="6B6560"/>
          <w:sz w:val="20"/>
          <w:szCs w:val="20"/>
        </w:rPr>
        <w:t xml:space="preserve">11 mars 2026</w:t>
      </w:r>
    </w:p>
    <w:p>
      <w:pPr>
        <w:spacing w:after="80"/>
        <w:jc w:val="center"/>
      </w:pPr>
      <w:r>
        <w:rPr>
          <w:rFonts w:ascii="Arial" w:cs="Arial" w:eastAsia="Arial" w:hAnsi="Arial"/>
          <w:color w:val="6B6560"/>
          <w:sz w:val="18"/>
          <w:szCs w:val="18"/>
        </w:rPr>
        <w:t xml:space="preserve">Expert Senior Design System (UI/UX) &amp; Stratège CRO</w:t>
      </w:r>
    </w:p>
    <w:p>
      <w:pPr>
        <w:spacing w:before="1500"/>
      </w:pPr>
    </w:p>
    <w:p>
      <w:pPr>
        <w:spacing w:after="40"/>
        <w:jc w:val="center"/>
      </w:pPr>
      <w:r>
        <w:rPr>
          <w:rFonts w:ascii="Arial" w:cs="Arial" w:eastAsia="Arial" w:hAnsi="Arial"/>
          <w:b/>
          <w:bCs/>
          <w:color w:val="A8895C"/>
          <w:sz w:val="16"/>
          <w:szCs w:val="16"/>
        </w:rPr>
        <w:t xml:space="preserve">CONFIDENTIEL</w:t>
      </w:r>
    </w:p>
    <w:p>
      <w:pPr>
        <w:jc w:val="center"/>
      </w:pPr>
      <w:r>
        <w:rPr>
          <w:rFonts w:ascii="Arial" w:cs="Arial" w:eastAsia="Arial" w:hAnsi="Arial"/>
          <w:color w:val="6B6560"/>
          <w:sz w:val="16"/>
          <w:szCs w:val="16"/>
        </w:rPr>
        <w:t xml:space="preserve">Ce document est destiné exclusivement à Maison Mirage.</w:t>
      </w:r>
    </w:p>
    <w:p>
      <w:pPr>
        <w:sectPr>
          <w:pgSz w:w="12240" w:h="15840" w:orient="portrait"/>
          <w:pgMar w:top="1440" w:right="1440" w:bottom="1440" w:left="1440" w:header="708" w:footer="708" w:gutter="0"/>
          <w:pgNumType/>
          <w:docGrid w:linePitch="360"/>
        </w:sectPr>
      </w:pPr>
    </w:p>
    <w:p>
      <w:pPr>
        <w:spacing w:after="100"/>
        <w:jc w:val="center"/>
      </w:pPr>
      <w:r>
        <w:rPr>
          <w:rFonts w:ascii="Georgia" w:cs="Georgia" w:eastAsia="Georgia" w:hAnsi="Georgia"/>
          <w:color w:val="A8895C"/>
          <w:sz w:val="14"/>
          <w:szCs w:val="14"/>
        </w:rPr>
        <w:t xml:space="preserve">SCORECARD GLOBAL</w:t>
      </w:r>
    </w:p>
    <w:p>
      <w:pPr>
        <w:spacing w:after="400"/>
        <w:jc w:val="center"/>
      </w:pPr>
      <w:r>
        <w:rPr>
          <w:rFonts w:ascii="Georgia" w:cs="Georgia" w:eastAsia="Georgia" w:hAnsi="Georgia"/>
          <w:b/>
          <w:bCs/>
          <w:color w:val="1A1714"/>
          <w:sz w:val="40"/>
          <w:szCs w:val="40"/>
        </w:rPr>
        <w:t xml:space="preserve">Vue d’ensemble</w:t>
      </w:r>
    </w:p>
    <w:p>
      <w:pPr>
        <w:pBdr>
          <w:bottom w:val="single" w:color="A8895C" w:sz="4" w:space="1"/>
        </w:pBdr>
        <w:spacing w:after="100" w:before="100"/>
      </w:pPr>
    </w:p>
    <w:p>
      <w:pPr>
        <w:spacing w:before="200"/>
      </w:pPr>
    </w:p>
    <w:p>
      <w:pPr>
        <w:spacing w:after="160" w:line="320"/>
      </w:pPr>
      <w:r>
        <w:rPr>
          <w:rFonts w:ascii="Arial" w:cs="Arial" w:eastAsia="Arial" w:hAnsi="Arial"/>
          <w:b/>
          <w:bCs/>
          <w:color w:val="1A1714"/>
          <w:sz w:val="21"/>
          <w:szCs w:val="21"/>
        </w:rPr>
        <w:t xml:space="preserve">Direction Artistique &amp; Branding: </w:t>
      </w:r>
      <w:r>
        <w:rPr>
          <w:rFonts w:ascii="Courier New" w:cs="Courier New" w:eastAsia="Courier New" w:hAnsi="Courier New"/>
          <w:color w:val="A8895C"/>
          <w:sz w:val="20"/>
          <w:szCs w:val="20"/>
        </w:rPr>
        <w:t xml:space="preserve">█████████</w:t>
      </w:r>
      <w:r>
        <w:rPr>
          <w:rFonts w:ascii="Courier New" w:cs="Courier New" w:eastAsia="Courier New" w:hAnsi="Courier New"/>
          <w:color w:val="D5D0CA"/>
          <w:sz w:val="20"/>
          <w:szCs w:val="20"/>
        </w:rPr>
        <w:t xml:space="preserve">░</w:t>
      </w:r>
      <w:r>
        <w:rPr>
          <w:rFonts w:ascii="Arial" w:cs="Arial" w:eastAsia="Arial" w:hAnsi="Arial"/>
          <w:b/>
          <w:bCs/>
          <w:color w:val="1A1714"/>
          <w:sz w:val="21"/>
          <w:szCs w:val="21"/>
        </w:rPr>
        <w:t xml:space="preserve"> 9/10</w:t>
      </w:r>
    </w:p>
    <w:p>
      <w:pPr>
        <w:spacing w:after="160" w:line="320"/>
      </w:pPr>
      <w:r>
        <w:rPr>
          <w:rFonts w:ascii="Arial" w:cs="Arial" w:eastAsia="Arial" w:hAnsi="Arial"/>
          <w:b/>
          <w:bCs/>
          <w:color w:val="1A1714"/>
          <w:sz w:val="21"/>
          <w:szCs w:val="21"/>
        </w:rPr>
        <w:t xml:space="preserve">Photographie Produit: </w:t>
      </w:r>
      <w:r>
        <w:rPr>
          <w:rFonts w:ascii="Courier New" w:cs="Courier New" w:eastAsia="Courier New" w:hAnsi="Courier New"/>
          <w:color w:val="A8895C"/>
          <w:sz w:val="20"/>
          <w:szCs w:val="20"/>
        </w:rPr>
        <w:t xml:space="preserve">█████████</w:t>
      </w:r>
      <w:r>
        <w:rPr>
          <w:rFonts w:ascii="Courier New" w:cs="Courier New" w:eastAsia="Courier New" w:hAnsi="Courier New"/>
          <w:color w:val="D5D0CA"/>
          <w:sz w:val="20"/>
          <w:szCs w:val="20"/>
        </w:rPr>
        <w:t xml:space="preserve">░</w:t>
      </w:r>
      <w:r>
        <w:rPr>
          <w:rFonts w:ascii="Arial" w:cs="Arial" w:eastAsia="Arial" w:hAnsi="Arial"/>
          <w:b/>
          <w:bCs/>
          <w:color w:val="1A1714"/>
          <w:sz w:val="21"/>
          <w:szCs w:val="21"/>
        </w:rPr>
        <w:t xml:space="preserve"> 9/10</w:t>
      </w:r>
    </w:p>
    <w:p>
      <w:pPr>
        <w:spacing w:after="160" w:line="320"/>
      </w:pPr>
      <w:r>
        <w:rPr>
          <w:rFonts w:ascii="Arial" w:cs="Arial" w:eastAsia="Arial" w:hAnsi="Arial"/>
          <w:b/>
          <w:bCs/>
          <w:color w:val="1A1714"/>
          <w:sz w:val="21"/>
          <w:szCs w:val="21"/>
        </w:rPr>
        <w:t xml:space="preserve">Copywriting &amp; Ton de Marque: </w:t>
      </w:r>
      <w:r>
        <w:rPr>
          <w:rFonts w:ascii="Courier New" w:cs="Courier New" w:eastAsia="Courier New" w:hAnsi="Courier New"/>
          <w:color w:val="A8895C"/>
          <w:sz w:val="20"/>
          <w:szCs w:val="20"/>
        </w:rPr>
        <w:t xml:space="preserve">████████</w:t>
      </w:r>
      <w:r>
        <w:rPr>
          <w:rFonts w:ascii="Courier New" w:cs="Courier New" w:eastAsia="Courier New" w:hAnsi="Courier New"/>
          <w:color w:val="D5D0CA"/>
          <w:sz w:val="20"/>
          <w:szCs w:val="20"/>
        </w:rPr>
        <w:t xml:space="preserve">░░</w:t>
      </w:r>
      <w:r>
        <w:rPr>
          <w:rFonts w:ascii="Arial" w:cs="Arial" w:eastAsia="Arial" w:hAnsi="Arial"/>
          <w:b/>
          <w:bCs/>
          <w:color w:val="1A1714"/>
          <w:sz w:val="21"/>
          <w:szCs w:val="21"/>
        </w:rPr>
        <w:t xml:space="preserve"> 8/10</w:t>
      </w:r>
    </w:p>
    <w:p>
      <w:pPr>
        <w:spacing w:after="160" w:line="320"/>
      </w:pPr>
      <w:r>
        <w:rPr>
          <w:rFonts w:ascii="Arial" w:cs="Arial" w:eastAsia="Arial" w:hAnsi="Arial"/>
          <w:b/>
          <w:bCs/>
          <w:color w:val="1A1714"/>
          <w:sz w:val="21"/>
          <w:szCs w:val="21"/>
        </w:rPr>
        <w:t xml:space="preserve">Hiérarchie Visuelle (UI): </w:t>
      </w:r>
      <w:r>
        <w:rPr>
          <w:rFonts w:ascii="Courier New" w:cs="Courier New" w:eastAsia="Courier New" w:hAnsi="Courier New"/>
          <w:color w:val="A8895C"/>
          <w:sz w:val="20"/>
          <w:szCs w:val="20"/>
        </w:rPr>
        <w:t xml:space="preserve">███████</w:t>
      </w:r>
      <w:r>
        <w:rPr>
          <w:rFonts w:ascii="Courier New" w:cs="Courier New" w:eastAsia="Courier New" w:hAnsi="Courier New"/>
          <w:color w:val="D5D0CA"/>
          <w:sz w:val="20"/>
          <w:szCs w:val="20"/>
        </w:rPr>
        <w:t xml:space="preserve">░░░</w:t>
      </w:r>
      <w:r>
        <w:rPr>
          <w:rFonts w:ascii="Arial" w:cs="Arial" w:eastAsia="Arial" w:hAnsi="Arial"/>
          <w:b/>
          <w:bCs/>
          <w:color w:val="1A1714"/>
          <w:sz w:val="21"/>
          <w:szCs w:val="21"/>
        </w:rPr>
        <w:t xml:space="preserve"> 7/10</w:t>
      </w:r>
    </w:p>
    <w:p>
      <w:pPr>
        <w:spacing w:after="160" w:line="320"/>
      </w:pPr>
      <w:r>
        <w:rPr>
          <w:rFonts w:ascii="Arial" w:cs="Arial" w:eastAsia="Arial" w:hAnsi="Arial"/>
          <w:b/>
          <w:bCs/>
          <w:color w:val="1A1714"/>
          <w:sz w:val="21"/>
          <w:szCs w:val="21"/>
        </w:rPr>
        <w:t xml:space="preserve">Parcours Utilisateur (UX): </w:t>
      </w:r>
      <w:r>
        <w:rPr>
          <w:rFonts w:ascii="Courier New" w:cs="Courier New" w:eastAsia="Courier New" w:hAnsi="Courier New"/>
          <w:color w:val="A8895C"/>
          <w:sz w:val="20"/>
          <w:szCs w:val="20"/>
        </w:rPr>
        <w:t xml:space="preserve">█████</w:t>
      </w:r>
      <w:r>
        <w:rPr>
          <w:rFonts w:ascii="Courier New" w:cs="Courier New" w:eastAsia="Courier New" w:hAnsi="Courier New"/>
          <w:color w:val="D5D0CA"/>
          <w:sz w:val="20"/>
          <w:szCs w:val="20"/>
        </w:rPr>
        <w:t xml:space="preserve">░░░░░</w:t>
      </w:r>
      <w:r>
        <w:rPr>
          <w:rFonts w:ascii="Arial" w:cs="Arial" w:eastAsia="Arial" w:hAnsi="Arial"/>
          <w:b/>
          <w:bCs/>
          <w:color w:val="1A1714"/>
          <w:sz w:val="21"/>
          <w:szCs w:val="21"/>
        </w:rPr>
        <w:t xml:space="preserve"> 5/10</w:t>
      </w:r>
    </w:p>
    <w:p>
      <w:pPr>
        <w:spacing w:after="160" w:line="320"/>
      </w:pPr>
      <w:r>
        <w:rPr>
          <w:rFonts w:ascii="Arial" w:cs="Arial" w:eastAsia="Arial" w:hAnsi="Arial"/>
          <w:b/>
          <w:bCs/>
          <w:color w:val="1A1714"/>
          <w:sz w:val="21"/>
          <w:szCs w:val="21"/>
        </w:rPr>
        <w:t xml:space="preserve">Tunnel de Conversion (CRO): </w:t>
      </w:r>
      <w:r>
        <w:rPr>
          <w:rFonts w:ascii="Courier New" w:cs="Courier New" w:eastAsia="Courier New" w:hAnsi="Courier New"/>
          <w:color w:val="A8895C"/>
          <w:sz w:val="20"/>
          <w:szCs w:val="20"/>
        </w:rPr>
        <w:t xml:space="preserve">████</w:t>
      </w:r>
      <w:r>
        <w:rPr>
          <w:rFonts w:ascii="Courier New" w:cs="Courier New" w:eastAsia="Courier New" w:hAnsi="Courier New"/>
          <w:color w:val="D5D0CA"/>
          <w:sz w:val="20"/>
          <w:szCs w:val="20"/>
        </w:rPr>
        <w:t xml:space="preserve">░░░░░░</w:t>
      </w:r>
      <w:r>
        <w:rPr>
          <w:rFonts w:ascii="Arial" w:cs="Arial" w:eastAsia="Arial" w:hAnsi="Arial"/>
          <w:b/>
          <w:bCs/>
          <w:color w:val="1A1714"/>
          <w:sz w:val="21"/>
          <w:szCs w:val="21"/>
        </w:rPr>
        <w:t xml:space="preserve"> 4/10</w:t>
      </w:r>
    </w:p>
    <w:p>
      <w:pPr>
        <w:spacing w:after="160" w:line="320"/>
      </w:pPr>
      <w:r>
        <w:rPr>
          <w:rFonts w:ascii="Arial" w:cs="Arial" w:eastAsia="Arial" w:hAnsi="Arial"/>
          <w:b/>
          <w:bCs/>
          <w:color w:val="1A1714"/>
          <w:sz w:val="21"/>
          <w:szCs w:val="21"/>
        </w:rPr>
        <w:t xml:space="preserve">Preuve Sociale &amp; Réassurance: </w:t>
      </w:r>
      <w:r>
        <w:rPr>
          <w:rFonts w:ascii="Courier New" w:cs="Courier New" w:eastAsia="Courier New" w:hAnsi="Courier New"/>
          <w:color w:val="A8895C"/>
          <w:sz w:val="20"/>
          <w:szCs w:val="20"/>
        </w:rPr>
        <w:t xml:space="preserve">█████</w:t>
      </w:r>
      <w:r>
        <w:rPr>
          <w:rFonts w:ascii="Courier New" w:cs="Courier New" w:eastAsia="Courier New" w:hAnsi="Courier New"/>
          <w:color w:val="D5D0CA"/>
          <w:sz w:val="20"/>
          <w:szCs w:val="20"/>
        </w:rPr>
        <w:t xml:space="preserve">░░░░░</w:t>
      </w:r>
      <w:r>
        <w:rPr>
          <w:rFonts w:ascii="Arial" w:cs="Arial" w:eastAsia="Arial" w:hAnsi="Arial"/>
          <w:b/>
          <w:bCs/>
          <w:color w:val="1A1714"/>
          <w:sz w:val="21"/>
          <w:szCs w:val="21"/>
        </w:rPr>
        <w:t xml:space="preserve"> 5/10</w:t>
      </w:r>
    </w:p>
    <w:p>
      <w:pPr>
        <w:spacing w:after="160" w:line="320"/>
      </w:pPr>
      <w:r>
        <w:rPr>
          <w:rFonts w:ascii="Arial" w:cs="Arial" w:eastAsia="Arial" w:hAnsi="Arial"/>
          <w:b/>
          <w:bCs/>
          <w:color w:val="1A1714"/>
          <w:sz w:val="21"/>
          <w:szCs w:val="21"/>
        </w:rPr>
        <w:t xml:space="preserve">SEO &amp; Architecture: </w:t>
      </w:r>
      <w:r>
        <w:rPr>
          <w:rFonts w:ascii="Courier New" w:cs="Courier New" w:eastAsia="Courier New" w:hAnsi="Courier New"/>
          <w:color w:val="A8895C"/>
          <w:sz w:val="20"/>
          <w:szCs w:val="20"/>
        </w:rPr>
        <w:t xml:space="preserve">█████</w:t>
      </w:r>
      <w:r>
        <w:rPr>
          <w:rFonts w:ascii="Courier New" w:cs="Courier New" w:eastAsia="Courier New" w:hAnsi="Courier New"/>
          <w:color w:val="D5D0CA"/>
          <w:sz w:val="20"/>
          <w:szCs w:val="20"/>
        </w:rPr>
        <w:t xml:space="preserve">░░░░░</w:t>
      </w:r>
      <w:r>
        <w:rPr>
          <w:rFonts w:ascii="Arial" w:cs="Arial" w:eastAsia="Arial" w:hAnsi="Arial"/>
          <w:b/>
          <w:bCs/>
          <w:color w:val="1A1714"/>
          <w:sz w:val="21"/>
          <w:szCs w:val="21"/>
        </w:rPr>
        <w:t xml:space="preserve"> 5/10</w:t>
      </w:r>
    </w:p>
    <w:p>
      <w:pPr>
        <w:spacing w:after="160" w:line="320"/>
      </w:pPr>
      <w:r>
        <w:rPr>
          <w:rFonts w:ascii="Arial" w:cs="Arial" w:eastAsia="Arial" w:hAnsi="Arial"/>
          <w:b/>
          <w:bCs/>
          <w:color w:val="1A1714"/>
          <w:sz w:val="21"/>
          <w:szCs w:val="21"/>
        </w:rPr>
        <w:t xml:space="preserve">Performance Mobile: </w:t>
      </w:r>
      <w:r>
        <w:rPr>
          <w:rFonts w:ascii="Courier New" w:cs="Courier New" w:eastAsia="Courier New" w:hAnsi="Courier New"/>
          <w:color w:val="A8895C"/>
          <w:sz w:val="20"/>
          <w:szCs w:val="20"/>
        </w:rPr>
        <w:t xml:space="preserve">██████</w:t>
      </w:r>
      <w:r>
        <w:rPr>
          <w:rFonts w:ascii="Courier New" w:cs="Courier New" w:eastAsia="Courier New" w:hAnsi="Courier New"/>
          <w:color w:val="D5D0CA"/>
          <w:sz w:val="20"/>
          <w:szCs w:val="20"/>
        </w:rPr>
        <w:t xml:space="preserve">░░░░</w:t>
      </w:r>
      <w:r>
        <w:rPr>
          <w:rFonts w:ascii="Arial" w:cs="Arial" w:eastAsia="Arial" w:hAnsi="Arial"/>
          <w:b/>
          <w:bCs/>
          <w:color w:val="1A1714"/>
          <w:sz w:val="21"/>
          <w:szCs w:val="21"/>
        </w:rPr>
        <w:t xml:space="preserve"> 6/10</w:t>
      </w:r>
    </w:p>
    <w:p>
      <w:pPr>
        <w:spacing w:after="160" w:line="320"/>
      </w:pPr>
      <w:r>
        <w:rPr>
          <w:rFonts w:ascii="Arial" w:cs="Arial" w:eastAsia="Arial" w:hAnsi="Arial"/>
          <w:b/>
          <w:bCs/>
          <w:color w:val="1A1714"/>
          <w:sz w:val="21"/>
          <w:szCs w:val="21"/>
        </w:rPr>
        <w:t xml:space="preserve">Accessibilité (a11y): </w:t>
      </w:r>
      <w:r>
        <w:rPr>
          <w:rFonts w:ascii="Courier New" w:cs="Courier New" w:eastAsia="Courier New" w:hAnsi="Courier New"/>
          <w:color w:val="A8895C"/>
          <w:sz w:val="20"/>
          <w:szCs w:val="20"/>
        </w:rPr>
        <w:t xml:space="preserve">██████</w:t>
      </w:r>
      <w:r>
        <w:rPr>
          <w:rFonts w:ascii="Courier New" w:cs="Courier New" w:eastAsia="Courier New" w:hAnsi="Courier New"/>
          <w:color w:val="D5D0CA"/>
          <w:sz w:val="20"/>
          <w:szCs w:val="20"/>
        </w:rPr>
        <w:t xml:space="preserve">░░░░</w:t>
      </w:r>
      <w:r>
        <w:rPr>
          <w:rFonts w:ascii="Arial" w:cs="Arial" w:eastAsia="Arial" w:hAnsi="Arial"/>
          <w:b/>
          <w:bCs/>
          <w:color w:val="1A1714"/>
          <w:sz w:val="21"/>
          <w:szCs w:val="21"/>
        </w:rPr>
        <w:t xml:space="preserve"> 6/10</w:t>
      </w:r>
    </w:p>
    <w:p>
      <w:pPr>
        <w:spacing w:before="300"/>
      </w:pPr>
    </w:p>
    <w:p>
      <w:pPr>
        <w:pBdr>
          <w:bottom w:val="single" w:color="A8895C" w:sz="4" w:space="1"/>
        </w:pBdr>
        <w:spacing w:after="100" w:before="100"/>
      </w:pP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FE3" w:val="clear"/>
            <w:tcMar>
              <w:top w:type="dxa" w:w="200"/>
              <w:left w:type="dxa" w:w="300"/>
              <w:bottom w:type="dxa" w:w="200"/>
              <w:right w:type="dxa" w:w="300"/>
            </w:tcMar>
          </w:tcPr>
          <w:p>
            <w:pPr>
              <w:spacing w:after="80"/>
            </w:pPr>
            <w:r>
              <w:rPr>
                <w:rFonts w:ascii="Georgia" w:cs="Georgia" w:eastAsia="Georgia" w:hAnsi="Georgia"/>
                <w:b/>
                <w:bCs/>
                <w:color w:val="A8895C"/>
                <w:sz w:val="24"/>
                <w:szCs w:val="24"/>
              </w:rPr>
              <w:t xml:space="preserve">NOTE GLOBALE : 6,4 / 10</w:t>
            </w:r>
          </w:p>
          <w:p>
            <w:pPr>
              <w:spacing w:after="0"/>
            </w:pPr>
            <w:r>
              <w:rPr>
                <w:rFonts w:ascii="Arial" w:cs="Arial" w:eastAsia="Arial" w:hAnsi="Arial"/>
                <w:color w:val="6B6560"/>
                <w:sz w:val="20"/>
                <w:szCs w:val="20"/>
              </w:rPr>
              <w:t xml:space="preserve">Excellente fondation artistique, mais un site qui contemple au lieu de convertir. Le produit est extraordinaire ; le site doit être à la hauteur de cette ambition commerciale. L’écart entre la qualité de la direction artistique (9/10) et l’efficacité du tunnel de conversion (4/10) révèle un déséquilibre structurel qui coûte des leads chaque jour.</w:t>
            </w:r>
          </w:p>
        </w:tc>
      </w:tr>
    </w:tbl>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1A1714"/>
          <w:sz w:val="36"/>
          <w:szCs w:val="36"/>
        </w:rPr>
        <w:t xml:space="preserve">1. Analyse de la Proposition de Valeur</w:t>
      </w:r>
    </w:p>
    <w:p>
      <w:pPr>
        <w:pBdr>
          <w:bottom w:val="single" w:color="A8895C" w:sz="4" w:space="1"/>
        </w:pBdr>
        <w:spacing w:after="100" w:before="100"/>
      </w:pPr>
    </w:p>
    <w:p>
      <w:pPr>
        <w:pStyle w:val="Heading2"/>
        <w:spacing w:after="150" w:before="300"/>
      </w:pPr>
      <w:r>
        <w:rPr>
          <w:rFonts w:ascii="Georgia" w:cs="Georgia" w:eastAsia="Georgia" w:hAnsi="Georgia"/>
          <w:b/>
          <w:bCs/>
          <w:color w:val="A8895C"/>
          <w:sz w:val="28"/>
          <w:szCs w:val="28"/>
        </w:rPr>
        <w:t xml:space="preserve">1.1 Le test des 3 secondes</w:t>
      </w:r>
    </w:p>
    <w:p>
      <w:pPr>
        <w:spacing w:after="160" w:line="320"/>
      </w:pPr>
      <w:r>
        <w:rPr>
          <w:rFonts w:ascii="Arial" w:cs="Arial" w:eastAsia="Arial" w:hAnsi="Arial"/>
          <w:b/>
          <w:bCs/>
          <w:color w:val="1A1714"/>
          <w:sz w:val="21"/>
          <w:szCs w:val="21"/>
        </w:rPr>
        <w:t xml:space="preserve">Résultat : Partiellement réussi. </w:t>
      </w:r>
      <w:r>
        <w:rPr>
          <w:rFonts w:ascii="Arial" w:cs="Arial" w:eastAsia="Arial" w:hAnsi="Arial"/>
          <w:color w:val="6B6560"/>
          <w:sz w:val="21"/>
          <w:szCs w:val="21"/>
        </w:rPr>
        <w:t xml:space="preserve">Le hero affiche « L’Art de l’Illusion » en Cormorant Garamond à clamp(3.8rem, 6.5vw, 8rem) avec l’italique doré sur « l’Illusion ». L’accroche est poétique et mémorable. Cependant, un visiteur B2B qui arrive pour la première fois ne comprend pas en 3 secondes qu’il s’agit de pâtisserie trompe-l’œil destinée aux professionnels de la restauration. Le sous-titre « Le dessert que vos clients filment avant de manger » clarifie l’offre, mais il est visuellement sous-hiérarchisé (font-weight: 300, couleur dorée sur fond crème = ratio de contraste d’environ 3.2:1, en dessous du seuil WCAG AA de 4.5:1).</w:t>
      </w:r>
    </w:p>
    <w:p>
      <w:pPr>
        <w:pStyle w:val="Heading2"/>
        <w:spacing w:after="150" w:before="300"/>
      </w:pPr>
      <w:r>
        <w:rPr>
          <w:rFonts w:ascii="Georgia" w:cs="Georgia" w:eastAsia="Georgia" w:hAnsi="Georgia"/>
          <w:b/>
          <w:bCs/>
          <w:color w:val="A8895C"/>
          <w:sz w:val="28"/>
          <w:szCs w:val="28"/>
        </w:rPr>
        <w:t xml:space="preserve">1.2 La communication du concept « Mirage »</w:t>
      </w:r>
    </w:p>
    <w:p>
      <w:pPr>
        <w:spacing w:after="160" w:line="320"/>
        <w:jc w:val="left"/>
      </w:pPr>
      <w:r>
        <w:rPr>
          <w:rFonts w:ascii="Arial" w:cs="Arial" w:eastAsia="Arial" w:hAnsi="Arial"/>
          <w:color w:val="6B6560"/>
          <w:sz w:val="21"/>
          <w:szCs w:val="21"/>
        </w:rPr>
        <w:t xml:space="preserve">Le nom « Mirage » est un actif de marque puissant, mais il est sous-exploité sur le site. Le mot n’apparaît que dans le logo et dans les métadonnées. Aucune section ne déconstruit l’illusion visuellement — par exemple, une animation de révélation avant/après (fruit entier vs coupe) en scroll-triggered serait un levier d’engagement considérable. La vidéo ASMR de découpe de la pêche est l’élément le plus réussi du site en termes de narration du concept, mais elle est noyée dans le flux de scroll sans mise en scène suffisante.</w:t>
      </w:r>
    </w:p>
    <w:p>
      <w:pPr>
        <w:pStyle w:val="Heading2"/>
        <w:spacing w:after="150" w:before="300"/>
      </w:pPr>
      <w:r>
        <w:rPr>
          <w:rFonts w:ascii="Georgia" w:cs="Georgia" w:eastAsia="Georgia" w:hAnsi="Georgia"/>
          <w:b/>
          <w:bCs/>
          <w:color w:val="A8895C"/>
          <w:sz w:val="28"/>
          <w:szCs w:val="28"/>
        </w:rPr>
        <w:t xml:space="preserve">1.3 Promesse B2B vs Grand Public</w:t>
      </w:r>
    </w:p>
    <w:p>
      <w:pPr>
        <w:spacing w:after="160" w:line="320"/>
        <w:jc w:val="left"/>
      </w:pPr>
      <w:r>
        <w:rPr>
          <w:rFonts w:ascii="Arial" w:cs="Arial" w:eastAsia="Arial" w:hAnsi="Arial"/>
          <w:color w:val="6B6560"/>
          <w:sz w:val="21"/>
          <w:szCs w:val="21"/>
        </w:rPr>
        <w:t xml:space="preserve">Le PDF d’implantation Klépierre révèle une ambition B2C (kiosque en galerie marchande) alors que le site est résolument B2B (restaurateurs, hôteliers). Cette dissonance stratégique n’est pas reflétée sur le site. Si le canal B2C est en développement, il faut envisager une landing page dédiée ou une section « Particuliers » clairement segmentée.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CRITIQUE</w:t>
            </w:r>
          </w:p>
        </w:tc>
        <w:tc>
          <w:tcPr>
            <w:tcW w:type="dxa" w:w="8160"/>
            <w:tcBorders>
              <w:top w:val="none" w:color="FFFFFF" w:sz="0"/>
              <w:left w:val="none" w:color="FFFFFF" w:sz="0"/>
              <w:bottom w:val="none" w:color="FFFFFF" w:sz="0"/>
              <w:right w:val="none" w:color="FFFFFF" w:sz="0"/>
            </w:tcBorders>
            <w:shd w:fill="F0EDEA" w:val="clear"/>
            <w:tcMar>
              <w:top w:type="dxa" w:w="100"/>
              <w:left w:type="dxa" w:w="200"/>
              <w:bottom w:type="dxa" w:w="100"/>
              <w:right w:type="dxa" w:w="200"/>
            </w:tcMar>
          </w:tcPr>
          <w:p>
            <w:r>
              <w:rPr>
                <w:rFonts w:ascii="Arial" w:cs="Arial" w:eastAsia="Arial" w:hAnsi="Arial"/>
                <w:b/>
                <w:bCs/>
                <w:color w:val="1A1714"/>
                <w:sz w:val="22"/>
                <w:szCs w:val="22"/>
              </w:rPr>
              <w:t xml:space="preserve">Sous-titre hero invisible</w:t>
            </w:r>
          </w:p>
        </w:tc>
      </w:tr>
    </w:tbl>
    <w:p>
      <w:pPr>
        <w:spacing w:after="160" w:line="320"/>
      </w:pPr>
      <w:r>
        <w:rPr>
          <w:rFonts w:ascii="Arial" w:cs="Arial" w:eastAsia="Arial" w:hAnsi="Arial"/>
          <w:b/>
          <w:bCs/>
          <w:color w:val="1A1714"/>
          <w:sz w:val="21"/>
          <w:szCs w:val="21"/>
        </w:rPr>
        <w:t xml:space="preserve">Constat : </w:t>
      </w:r>
      <w:r>
        <w:rPr>
          <w:rFonts w:ascii="Arial" w:cs="Arial" w:eastAsia="Arial" w:hAnsi="Arial"/>
          <w:color w:val="6B6560"/>
          <w:sz w:val="21"/>
          <w:szCs w:val="21"/>
        </w:rPr>
        <w:t xml:space="preserve">Le hook business « Le dessert que vos clients filment avant de manger » utilise font-weight: 300 en couleur --gold (#A8895C) sur fond --cream (#FAF5EF). Le ratio de contraste de luminance est d’environ 3.2:1, insuffisant pour du texte de cette taille selon les WCAG 2.1 AA (minimum 4.5:1 pour du texte normal). Ce texte est pourtant la ligne la plus importante pour la conversion immédiate.</w:t>
      </w:r>
    </w:p>
    <w:p>
      <w:pPr>
        <w:spacing w:after="160" w:line="320"/>
      </w:pPr>
      <w:r>
        <w:rPr>
          <w:rFonts w:ascii="Arial" w:cs="Arial" w:eastAsia="Arial" w:hAnsi="Arial"/>
          <w:b/>
          <w:bCs/>
          <w:color w:val="A8895C"/>
          <w:sz w:val="21"/>
          <w:szCs w:val="21"/>
        </w:rPr>
        <w:t xml:space="preserve">Recommandation : </w:t>
      </w:r>
      <w:r>
        <w:rPr>
          <w:rFonts w:ascii="Arial" w:cs="Arial" w:eastAsia="Arial" w:hAnsi="Arial"/>
          <w:color w:val="6B6560"/>
          <w:sz w:val="21"/>
          <w:szCs w:val="21"/>
        </w:rPr>
        <w:t xml:space="preserve">Passer le hook en font-weight: 400 minimum, couleur --ink (#1A1714) ou --ink-muted (#6B6560), et augmenter la taille à clamp(1.1rem, 2vw, 1.4rem). Tester un A/B avec un hook plus direct : « Pâtisserie trompe-l’œil pour restaurateurs — dès 5€/pièce ».</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MAJEUR</w:t>
            </w:r>
          </w:p>
        </w:tc>
        <w:tc>
          <w:tcPr>
            <w:tcW w:type="dxa" w:w="8160"/>
            <w:tcBorders>
              <w:top w:val="none" w:color="FFFFFF" w:sz="0"/>
              <w:left w:val="none" w:color="FFFFFF" w:sz="0"/>
              <w:bottom w:val="none" w:color="FFFFFF" w:sz="0"/>
              <w:right w:val="none" w:color="FFFFFF" w:sz="0"/>
            </w:tcBorders>
            <w:shd w:fill="F0EDEA" w:val="clear"/>
            <w:tcMar>
              <w:top w:type="dxa" w:w="100"/>
              <w:left w:type="dxa" w:w="200"/>
              <w:bottom w:type="dxa" w:w="100"/>
              <w:right w:type="dxa" w:w="200"/>
            </w:tcMar>
          </w:tcPr>
          <w:p>
            <w:r>
              <w:rPr>
                <w:rFonts w:ascii="Arial" w:cs="Arial" w:eastAsia="Arial" w:hAnsi="Arial"/>
                <w:b/>
                <w:bCs/>
                <w:color w:val="1A1714"/>
                <w:sz w:val="22"/>
                <w:szCs w:val="22"/>
              </w:rPr>
              <w:t xml:space="preserve">Concept « Mirage » sous-exploité</w:t>
            </w:r>
          </w:p>
        </w:tc>
      </w:tr>
    </w:tbl>
    <w:p>
      <w:pPr>
        <w:spacing w:after="160" w:line="320"/>
      </w:pPr>
      <w:r>
        <w:rPr>
          <w:rFonts w:ascii="Arial" w:cs="Arial" w:eastAsia="Arial" w:hAnsi="Arial"/>
          <w:b/>
          <w:bCs/>
          <w:color w:val="1A1714"/>
          <w:sz w:val="21"/>
          <w:szCs w:val="21"/>
        </w:rPr>
        <w:t xml:space="preserve">Constat : </w:t>
      </w:r>
      <w:r>
        <w:rPr>
          <w:rFonts w:ascii="Arial" w:cs="Arial" w:eastAsia="Arial" w:hAnsi="Arial"/>
          <w:color w:val="6B6560"/>
          <w:sz w:val="21"/>
          <w:szCs w:val="21"/>
        </w:rPr>
        <w:t xml:space="preserve">Pas de section dédiée qui raconte l’histoire du trompe-l’œil. Le visiteur doit scroller jusqu’à la vidéo pour comprendre le produit.</w:t>
      </w:r>
    </w:p>
    <w:p>
      <w:pPr>
        <w:spacing w:after="160" w:line="320"/>
      </w:pPr>
      <w:r>
        <w:rPr>
          <w:rFonts w:ascii="Arial" w:cs="Arial" w:eastAsia="Arial" w:hAnsi="Arial"/>
          <w:b/>
          <w:bCs/>
          <w:color w:val="A8895C"/>
          <w:sz w:val="21"/>
          <w:szCs w:val="21"/>
        </w:rPr>
        <w:t xml:space="preserve">Recommandation : </w:t>
      </w:r>
      <w:r>
        <w:rPr>
          <w:rFonts w:ascii="Arial" w:cs="Arial" w:eastAsia="Arial" w:hAnsi="Arial"/>
          <w:color w:val="6B6560"/>
          <w:sz w:val="21"/>
          <w:szCs w:val="21"/>
        </w:rPr>
        <w:t xml:space="preserve">Créer une section « La Révélation » immédiatement après le hero, avec une animation scroll-triggered montrant la coupe du fruit et révélant l’intérieur. Exploiter le pattern du « product reveal » utilisé par Apple.</w:t>
      </w:r>
    </w:p>
    <w:p>
      <w:pPr>
        <w:spacing w:before="100"/>
      </w:pPr>
    </w:p>
    <w:r>
      <w:br w:type="page"/>
    </w:r>
    <w:p>
      <w:pPr>
        <w:pStyle w:val="Heading1"/>
        <w:spacing w:after="200" w:before="400"/>
      </w:pPr>
      <w:r>
        <w:rPr>
          <w:rFonts w:ascii="Georgia" w:cs="Georgia" w:eastAsia="Georgia" w:hAnsi="Georgia"/>
          <w:b/>
          <w:bCs/>
          <w:color w:val="1A1714"/>
          <w:sz w:val="36"/>
          <w:szCs w:val="36"/>
        </w:rPr>
        <w:t xml:space="preserve">2. Audit UX &amp; Ergonomie</w:t>
      </w:r>
    </w:p>
    <w:p>
      <w:pPr>
        <w:pBdr>
          <w:bottom w:val="single" w:color="A8895C" w:sz="4" w:space="1"/>
        </w:pBdr>
        <w:spacing w:after="100" w:before="100"/>
      </w:pPr>
    </w:p>
    <w:p>
      <w:pPr>
        <w:pStyle w:val="Heading2"/>
        <w:spacing w:after="150" w:before="300"/>
      </w:pPr>
      <w:r>
        <w:rPr>
          <w:rFonts w:ascii="Georgia" w:cs="Georgia" w:eastAsia="Georgia" w:hAnsi="Georgia"/>
          <w:b/>
          <w:bCs/>
          <w:color w:val="A8895C"/>
          <w:sz w:val="28"/>
          <w:szCs w:val="28"/>
        </w:rPr>
        <w:t xml:space="preserve">2.1 Parcours utilisateur (User Journey)</w:t>
      </w:r>
    </w:p>
    <w:p>
      <w:pPr>
        <w:spacing w:after="160" w:line="320"/>
        <w:jc w:val="left"/>
      </w:pPr>
      <w:r>
        <w:rPr>
          <w:rFonts w:ascii="Arial" w:cs="Arial" w:eastAsia="Arial" w:hAnsi="Arial"/>
          <w:color w:val="6B6560"/>
          <w:sz w:val="21"/>
          <w:szCs w:val="21"/>
        </w:rPr>
        <w:t xml:space="preserve">Le parcours type d’un restaurateur marseillais qui découvre le site est le suivant : Hero → Scroll → Vidéo → Témoignages → Catalogue → Fiche produit (modale) → Formulaire Espace Pro. Ce tunnel comporte 6 à 7 étapes avant conversion, avec des zones de friction identifiées.</w:t>
      </w:r>
    </w:p>
    <w:p>
      <w:pPr>
        <w:spacing w:after="100" w:before="200"/>
      </w:pPr>
      <w:r>
        <w:rPr>
          <w:rFonts w:ascii="Arial" w:cs="Arial" w:eastAsia="Arial" w:hAnsi="Arial"/>
          <w:b/>
          <w:bCs/>
          <w:color w:val="1A1714"/>
          <w:sz w:val="22"/>
          <w:szCs w:val="22"/>
        </w:rPr>
        <w:t xml:space="preserve">Points de friction identifiés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CRITIQUE</w:t>
            </w:r>
          </w:p>
        </w:tc>
        <w:tc>
          <w:tcPr>
            <w:tcW w:type="dxa" w:w="8160"/>
            <w:tcBorders>
              <w:top w:val="none" w:color="FFFFFF" w:sz="0"/>
              <w:left w:val="none" w:color="FFFFFF" w:sz="0"/>
              <w:bottom w:val="none" w:color="FFFFFF" w:sz="0"/>
              <w:right w:val="none" w:color="FFFFFF" w:sz="0"/>
            </w:tcBorders>
            <w:shd w:fill="F0EDEA" w:val="clear"/>
            <w:tcMar>
              <w:top w:type="dxa" w:w="100"/>
              <w:left w:type="dxa" w:w="200"/>
              <w:bottom w:type="dxa" w:w="100"/>
              <w:right w:type="dxa" w:w="200"/>
            </w:tcMar>
          </w:tcPr>
          <w:p>
            <w:r>
              <w:rPr>
                <w:rFonts w:ascii="Arial" w:cs="Arial" w:eastAsia="Arial" w:hAnsi="Arial"/>
                <w:b/>
                <w:bCs/>
                <w:color w:val="1A1714"/>
                <w:sz w:val="22"/>
                <w:szCs w:val="22"/>
              </w:rPr>
              <w:t xml:space="preserve">Espaces vides excessifs entre sections</w:t>
            </w:r>
          </w:p>
        </w:tc>
      </w:tr>
    </w:tbl>
    <w:p>
      <w:pPr>
        <w:spacing w:after="160" w:line="320"/>
      </w:pPr>
      <w:r>
        <w:rPr>
          <w:rFonts w:ascii="Arial" w:cs="Arial" w:eastAsia="Arial" w:hAnsi="Arial"/>
          <w:b/>
          <w:bCs/>
          <w:color w:val="1A1714"/>
          <w:sz w:val="21"/>
          <w:szCs w:val="21"/>
        </w:rPr>
        <w:t xml:space="preserve">Constat : </w:t>
      </w:r>
      <w:r>
        <w:rPr>
          <w:rFonts w:ascii="Arial" w:cs="Arial" w:eastAsia="Arial" w:hAnsi="Arial"/>
          <w:color w:val="6B6560"/>
          <w:sz w:val="21"/>
          <w:szCs w:val="21"/>
        </w:rPr>
        <w:t xml:space="preserve">Les paddings inter-sections oscillent entre 7rem et 10rem (112px à 160px), créant des « déserts de scroll » qui brisent le rythme de lecture. La section .atelier utilise padding: 7rem 0 5rem, la .philosophy 7rem 6vw, la .boutique 7rem 6vw 5rem. Sur un écran 1080p, certaines transitions inter-sections nécessitent un scroll complet sans contenu visible. Selon la loi de Fitts appliquée au scroll, chaque pixel de vide augmente le risque d’abandon.</w:t>
      </w:r>
    </w:p>
    <w:p>
      <w:pPr>
        <w:spacing w:after="160" w:line="320"/>
      </w:pPr>
      <w:r>
        <w:rPr>
          <w:rFonts w:ascii="Arial" w:cs="Arial" w:eastAsia="Arial" w:hAnsi="Arial"/>
          <w:b/>
          <w:bCs/>
          <w:color w:val="A8895C"/>
          <w:sz w:val="21"/>
          <w:szCs w:val="21"/>
        </w:rPr>
        <w:t xml:space="preserve">Recommandation : </w:t>
      </w:r>
      <w:r>
        <w:rPr>
          <w:rFonts w:ascii="Arial" w:cs="Arial" w:eastAsia="Arial" w:hAnsi="Arial"/>
          <w:color w:val="6B6560"/>
          <w:sz w:val="21"/>
          <w:szCs w:val="21"/>
        </w:rPr>
        <w:t xml:space="preserve">Réduire les paddings verticaux de 40 à 50% (passer de 7rem à 4rem). Sur mobile, descendre à 3rem. L’espace blanc est un outil de luxe en design, mais son excès communique le vide, pas la sophistication.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CRITIQUE</w:t>
            </w:r>
          </w:p>
        </w:tc>
        <w:tc>
          <w:tcPr>
            <w:tcW w:type="dxa" w:w="8160"/>
            <w:tcBorders>
              <w:top w:val="none" w:color="FFFFFF" w:sz="0"/>
              <w:left w:val="none" w:color="FFFFFF" w:sz="0"/>
              <w:bottom w:val="none" w:color="FFFFFF" w:sz="0"/>
              <w:right w:val="none" w:color="FFFFFF" w:sz="0"/>
            </w:tcBorders>
            <w:shd w:fill="F0EDEA" w:val="clear"/>
            <w:tcMar>
              <w:top w:type="dxa" w:w="100"/>
              <w:left w:type="dxa" w:w="200"/>
              <w:bottom w:type="dxa" w:w="100"/>
              <w:right w:type="dxa" w:w="200"/>
            </w:tcMar>
          </w:tcPr>
          <w:p>
            <w:r>
              <w:rPr>
                <w:rFonts w:ascii="Arial" w:cs="Arial" w:eastAsia="Arial" w:hAnsi="Arial"/>
                <w:b/>
                <w:bCs/>
                <w:color w:val="1A1714"/>
                <w:sz w:val="22"/>
                <w:szCs w:val="22"/>
              </w:rPr>
              <w:t xml:space="preserve">Navigation monolithique (One-Pager)</w:t>
            </w:r>
          </w:p>
        </w:tc>
      </w:tr>
    </w:tbl>
    <w:p>
      <w:pPr>
        <w:spacing w:after="160" w:line="320"/>
      </w:pPr>
      <w:r>
        <w:rPr>
          <w:rFonts w:ascii="Arial" w:cs="Arial" w:eastAsia="Arial" w:hAnsi="Arial"/>
          <w:b/>
          <w:bCs/>
          <w:color w:val="1A1714"/>
          <w:sz w:val="21"/>
          <w:szCs w:val="21"/>
        </w:rPr>
        <w:t xml:space="preserve">Constat : </w:t>
      </w:r>
      <w:r>
        <w:rPr>
          <w:rFonts w:ascii="Arial" w:cs="Arial" w:eastAsia="Arial" w:hAnsi="Arial"/>
          <w:color w:val="6B6560"/>
          <w:sz w:val="21"/>
          <w:szCs w:val="21"/>
        </w:rPr>
        <w:t xml:space="preserve">L’architecture repose sur un seul index.html avec des ancres (#boutique, #reveal, etc.). Les pages séparées (partenaires.html, evenements.html, atelier.html) existent mais ne sont pas découvrables depuis la navigation principale desktop. Le burger menu est le seul point d’accès aux sous-pages — or le burger menu est un pattern mobile, pas desktop. L’absence de navigation horizontale desktop viole le principe de recognition over recall (Nielsen).</w:t>
      </w:r>
    </w:p>
    <w:p>
      <w:pPr>
        <w:spacing w:after="160" w:line="320"/>
      </w:pPr>
      <w:r>
        <w:rPr>
          <w:rFonts w:ascii="Arial" w:cs="Arial" w:eastAsia="Arial" w:hAnsi="Arial"/>
          <w:b/>
          <w:bCs/>
          <w:color w:val="A8895C"/>
          <w:sz w:val="21"/>
          <w:szCs w:val="21"/>
        </w:rPr>
        <w:t xml:space="preserve">Recommandation : </w:t>
      </w:r>
      <w:r>
        <w:rPr>
          <w:rFonts w:ascii="Arial" w:cs="Arial" w:eastAsia="Arial" w:hAnsi="Arial"/>
          <w:color w:val="6B6560"/>
          <w:sz w:val="21"/>
          <w:szCs w:val="21"/>
        </w:rPr>
        <w:t xml:space="preserve">Ajouter une navigation horizontale desktop avec les entrées clés : Catalogue | L’Atelier | Événements | Espace Pro. Conserver le burger pour mobile uniquement. Chaque section mérite sa propre URL pour le SEO.</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MAJEUR</w:t>
            </w:r>
          </w:p>
        </w:tc>
        <w:tc>
          <w:tcPr>
            <w:tcW w:type="dxa" w:w="8160"/>
            <w:tcBorders>
              <w:top w:val="none" w:color="FFFFFF" w:sz="0"/>
              <w:left w:val="none" w:color="FFFFFF" w:sz="0"/>
              <w:bottom w:val="none" w:color="FFFFFF" w:sz="0"/>
              <w:right w:val="none" w:color="FFFFFF" w:sz="0"/>
            </w:tcBorders>
            <w:shd w:fill="F0EDEA" w:val="clear"/>
            <w:tcMar>
              <w:top w:type="dxa" w:w="100"/>
              <w:left w:type="dxa" w:w="200"/>
              <w:bottom w:type="dxa" w:w="100"/>
              <w:right w:type="dxa" w:w="200"/>
            </w:tcMar>
          </w:tcPr>
          <w:p>
            <w:r>
              <w:rPr>
                <w:rFonts w:ascii="Arial" w:cs="Arial" w:eastAsia="Arial" w:hAnsi="Arial"/>
                <w:b/>
                <w:bCs/>
                <w:color w:val="1A1714"/>
                <w:sz w:val="22"/>
                <w:szCs w:val="22"/>
              </w:rPr>
              <w:t xml:space="preserve">Modal produit vs Pages dédiées</w:t>
            </w:r>
          </w:p>
        </w:tc>
      </w:tr>
    </w:tbl>
    <w:p>
      <w:pPr>
        <w:spacing w:after="160" w:line="320"/>
      </w:pPr>
      <w:r>
        <w:rPr>
          <w:rFonts w:ascii="Arial" w:cs="Arial" w:eastAsia="Arial" w:hAnsi="Arial"/>
          <w:b/>
          <w:bCs/>
          <w:color w:val="1A1714"/>
          <w:sz w:val="21"/>
          <w:szCs w:val="21"/>
        </w:rPr>
        <w:t xml:space="preserve">Constat : </w:t>
      </w:r>
      <w:r>
        <w:rPr>
          <w:rFonts w:ascii="Arial" w:cs="Arial" w:eastAsia="Arial" w:hAnsi="Arial"/>
          <w:color w:val="6B6560"/>
          <w:sz w:val="21"/>
          <w:szCs w:val="21"/>
        </w:rPr>
        <w:t xml:space="preserve">Les fiches produit utilisent un système hybride : des pages individuelles (produit-fraise.html, etc.) existent et sont bien structurées (breadcrumb, schema.org Product, SEO complet), mais le catalogue homepage ouvre encore une modale JavaScript (openProduct()). Ce double système crée de la confusion et sous-exploite les pages dédiées.</w:t>
      </w:r>
    </w:p>
    <w:p>
      <w:pPr>
        <w:spacing w:after="160" w:line="320"/>
      </w:pPr>
      <w:r>
        <w:rPr>
          <w:rFonts w:ascii="Arial" w:cs="Arial" w:eastAsia="Arial" w:hAnsi="Arial"/>
          <w:b/>
          <w:bCs/>
          <w:color w:val="A8895C"/>
          <w:sz w:val="21"/>
          <w:szCs w:val="21"/>
        </w:rPr>
        <w:t xml:space="preserve">Recommandation : </w:t>
      </w:r>
      <w:r>
        <w:rPr>
          <w:rFonts w:ascii="Arial" w:cs="Arial" w:eastAsia="Arial" w:hAnsi="Arial"/>
          <w:color w:val="6B6560"/>
          <w:sz w:val="21"/>
          <w:szCs w:val="21"/>
        </w:rPr>
        <w:t xml:space="preserve">Supprimer la modale. Lier directement les cards du catalogue aux pages produit individuelles (c’est déjà le cas dans le HTML avec les liens href=« produit-fraise.html »). S’assurer que le JavaScript n’intercepte pas ces liens.</w:t>
      </w:r>
    </w:p>
    <w:p>
      <w:pPr>
        <w:spacing w:before="100"/>
      </w:pPr>
    </w:p>
    <w:p>
      <w:pPr>
        <w:pStyle w:val="Heading2"/>
        <w:spacing w:after="150" w:before="300"/>
      </w:pPr>
      <w:r>
        <w:rPr>
          <w:rFonts w:ascii="Georgia" w:cs="Georgia" w:eastAsia="Georgia" w:hAnsi="Georgia"/>
          <w:b/>
          <w:bCs/>
          <w:color w:val="A8895C"/>
          <w:sz w:val="28"/>
          <w:szCs w:val="28"/>
        </w:rPr>
        <w:t xml:space="preserve">2.2 Efficacité des Call-to-Action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CRITIQUE</w:t>
            </w:r>
          </w:p>
        </w:tc>
        <w:tc>
          <w:tcPr>
            <w:tcW w:type="dxa" w:w="8160"/>
            <w:tcBorders>
              <w:top w:val="none" w:color="FFFFFF" w:sz="0"/>
              <w:left w:val="none" w:color="FFFFFF" w:sz="0"/>
              <w:bottom w:val="none" w:color="FFFFFF" w:sz="0"/>
              <w:right w:val="none" w:color="FFFFFF" w:sz="0"/>
            </w:tcBorders>
            <w:shd w:fill="F0EDEA" w:val="clear"/>
            <w:tcMar>
              <w:top w:type="dxa" w:w="100"/>
              <w:left w:type="dxa" w:w="200"/>
              <w:bottom w:type="dxa" w:w="100"/>
              <w:right w:type="dxa" w:w="200"/>
            </w:tcMar>
          </w:tcPr>
          <w:p>
            <w:r>
              <w:rPr>
                <w:rFonts w:ascii="Arial" w:cs="Arial" w:eastAsia="Arial" w:hAnsi="Arial"/>
                <w:b/>
                <w:bCs/>
                <w:color w:val="1A1714"/>
                <w:sz w:val="22"/>
                <w:szCs w:val="22"/>
              </w:rPr>
              <w:t xml:space="preserve">CTA principal insuffisamment différencié</w:t>
            </w:r>
          </w:p>
        </w:tc>
      </w:tr>
    </w:tbl>
    <w:p>
      <w:pPr>
        <w:spacing w:after="160" w:line="320"/>
      </w:pPr>
      <w:r>
        <w:rPr>
          <w:rFonts w:ascii="Arial" w:cs="Arial" w:eastAsia="Arial" w:hAnsi="Arial"/>
          <w:b/>
          <w:bCs/>
          <w:color w:val="1A1714"/>
          <w:sz w:val="21"/>
          <w:szCs w:val="21"/>
        </w:rPr>
        <w:t xml:space="preserve">Constat : </w:t>
      </w:r>
      <w:r>
        <w:rPr>
          <w:rFonts w:ascii="Arial" w:cs="Arial" w:eastAsia="Arial" w:hAnsi="Arial"/>
          <w:color w:val="6B6560"/>
          <w:sz w:val="21"/>
          <w:szCs w:val="21"/>
        </w:rPr>
        <w:t xml:space="preserve">Le hero propose deux CTA : « Demander un devis » (btn-primary, fond --ink) et « Découvrir la collection » (btn-secondary, transparent). Le problème : le btn-primary est noir sur fond crème, ce qui crée un contraste correct mais ne communique pas l’urgence. Le bouton utilise font-size: 0.62rem (environ 10px) en uppercase monospace — c’est trop petit selon la loi de Fitts. La zone cliquable effective (padding: 1rem 2.2rem) est correcte, mais le label est difficile à lire.</w:t>
      </w:r>
    </w:p>
    <w:p>
      <w:pPr>
        <w:spacing w:after="160" w:line="320"/>
      </w:pPr>
      <w:r>
        <w:rPr>
          <w:rFonts w:ascii="Arial" w:cs="Arial" w:eastAsia="Arial" w:hAnsi="Arial"/>
          <w:b/>
          <w:bCs/>
          <w:color w:val="A8895C"/>
          <w:sz w:val="21"/>
          <w:szCs w:val="21"/>
        </w:rPr>
        <w:t xml:space="preserve">Recommandation : </w:t>
      </w:r>
      <w:r>
        <w:rPr>
          <w:rFonts w:ascii="Arial" w:cs="Arial" w:eastAsia="Arial" w:hAnsi="Arial"/>
          <w:color w:val="6B6560"/>
          <w:sz w:val="21"/>
          <w:szCs w:val="21"/>
        </w:rPr>
        <w:t xml:space="preserve">Augmenter la taille du label CTA à 0.72rem minimum. Utiliser la couleur --gold comme background du CTA primaire pour créer un ancrage chromatique distinct. Ajouter un micro-texte de réassurance sous le CTA : « Réponse sous 24h · Dégustation gratuite ».</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MAJEUR</w:t>
            </w:r>
          </w:p>
        </w:tc>
        <w:tc>
          <w:tcPr>
            <w:tcW w:type="dxa" w:w="8160"/>
            <w:tcBorders>
              <w:top w:val="none" w:color="FFFFFF" w:sz="0"/>
              <w:left w:val="none" w:color="FFFFFF" w:sz="0"/>
              <w:bottom w:val="none" w:color="FFFFFF" w:sz="0"/>
              <w:right w:val="none" w:color="FFFFFF" w:sz="0"/>
            </w:tcBorders>
            <w:shd w:fill="F0EDEA" w:val="clear"/>
            <w:tcMar>
              <w:top w:type="dxa" w:w="100"/>
              <w:left w:type="dxa" w:w="200"/>
              <w:bottom w:type="dxa" w:w="100"/>
              <w:right w:type="dxa" w:w="200"/>
            </w:tcMar>
          </w:tcPr>
          <w:p>
            <w:r>
              <w:rPr>
                <w:rFonts w:ascii="Arial" w:cs="Arial" w:eastAsia="Arial" w:hAnsi="Arial"/>
                <w:b/>
                <w:bCs/>
                <w:color w:val="1A1714"/>
                <w:sz w:val="22"/>
                <w:szCs w:val="22"/>
              </w:rPr>
              <w:t xml:space="preserve">Absence de CTA intermédiaires</w:t>
            </w:r>
          </w:p>
        </w:tc>
      </w:tr>
    </w:tbl>
    <w:p>
      <w:pPr>
        <w:spacing w:after="160" w:line="320"/>
      </w:pPr>
      <w:r>
        <w:rPr>
          <w:rFonts w:ascii="Arial" w:cs="Arial" w:eastAsia="Arial" w:hAnsi="Arial"/>
          <w:b/>
          <w:bCs/>
          <w:color w:val="1A1714"/>
          <w:sz w:val="21"/>
          <w:szCs w:val="21"/>
        </w:rPr>
        <w:t xml:space="preserve">Constat : </w:t>
      </w:r>
      <w:r>
        <w:rPr>
          <w:rFonts w:ascii="Arial" w:cs="Arial" w:eastAsia="Arial" w:hAnsi="Arial"/>
          <w:color w:val="6B6560"/>
          <w:sz w:val="21"/>
          <w:szCs w:val="21"/>
        </w:rPr>
        <w:t xml:space="preserve">Entre le hero et le catalogue (environ 3 scrolls complets), aucun CTA ne capture l’intention. Les sections Vidéo Reveal et Témoignages sont des moments d’émotion forte sans appel à l’action.</w:t>
      </w:r>
    </w:p>
    <w:p>
      <w:pPr>
        <w:spacing w:after="160" w:line="320"/>
      </w:pPr>
      <w:r>
        <w:rPr>
          <w:rFonts w:ascii="Arial" w:cs="Arial" w:eastAsia="Arial" w:hAnsi="Arial"/>
          <w:b/>
          <w:bCs/>
          <w:color w:val="A8895C"/>
          <w:sz w:val="21"/>
          <w:szCs w:val="21"/>
        </w:rPr>
        <w:t xml:space="preserve">Recommandation : </w:t>
      </w:r>
      <w:r>
        <w:rPr>
          <w:rFonts w:ascii="Arial" w:cs="Arial" w:eastAsia="Arial" w:hAnsi="Arial"/>
          <w:color w:val="6B6560"/>
          <w:sz w:val="21"/>
          <w:szCs w:val="21"/>
        </w:rPr>
        <w:t xml:space="preserve">Ajouter un CTA contextuel après chaque section clé : après la vidéo (« Découvrir la collection »), après les témoignages (« Rejoindre nos partenaires »), après le catalogue (« Demander un devis »). Chaque CTA doit être contextuel et lié à l’émotion de la section précédente.</w:t>
      </w:r>
    </w:p>
    <w:p>
      <w:pPr>
        <w:spacing w:before="100"/>
      </w:pPr>
    </w:p>
    <w:r>
      <w:br w:type="page"/>
    </w:r>
    <w:p>
      <w:pPr>
        <w:pStyle w:val="Heading1"/>
        <w:spacing w:after="200" w:before="400"/>
      </w:pPr>
      <w:r>
        <w:rPr>
          <w:rFonts w:ascii="Georgia" w:cs="Georgia" w:eastAsia="Georgia" w:hAnsi="Georgia"/>
          <w:b/>
          <w:bCs/>
          <w:color w:val="1A1714"/>
          <w:sz w:val="36"/>
          <w:szCs w:val="36"/>
        </w:rPr>
        <w:t xml:space="preserve">3. Audit UI &amp; Branding</w:t>
      </w:r>
    </w:p>
    <w:p>
      <w:pPr>
        <w:pBdr>
          <w:bottom w:val="single" w:color="A8895C" w:sz="4" w:space="1"/>
        </w:pBdr>
        <w:spacing w:after="100" w:before="100"/>
      </w:pPr>
    </w:p>
    <w:p>
      <w:pPr>
        <w:pStyle w:val="Heading2"/>
        <w:spacing w:after="150" w:before="300"/>
      </w:pPr>
      <w:r>
        <w:rPr>
          <w:rFonts w:ascii="Georgia" w:cs="Georgia" w:eastAsia="Georgia" w:hAnsi="Georgia"/>
          <w:b/>
          <w:bCs/>
          <w:color w:val="A8895C"/>
          <w:sz w:val="28"/>
          <w:szCs w:val="28"/>
        </w:rPr>
        <w:t xml:space="preserve">3.1 Hiérarchie visuelle</w:t>
      </w:r>
    </w:p>
    <w:p>
      <w:pPr>
        <w:spacing w:after="160" w:line="320"/>
        <w:jc w:val="left"/>
      </w:pPr>
      <w:r>
        <w:rPr>
          <w:rFonts w:ascii="Arial" w:cs="Arial" w:eastAsia="Arial" w:hAnsi="Arial"/>
          <w:color w:val="6B6560"/>
          <w:sz w:val="21"/>
          <w:szCs w:val="21"/>
        </w:rPr>
        <w:t xml:space="preserve">La hiérarchie typographique repose sur trois polices : Cormorant Garamond (serif, titres), Outfit (sans-serif, corps), JetBrains Mono (monospace, labels/eyebrows). Ce triptyque est cohérent et distinctif. Cormorant en weight 300 pour les titres crée une élégance fraîchissante. Les eyebrows en JetBrains Mono uppercase 0.58rem avec letter-spacing 0.38em construisent un système de micro-labels très efficace.</w:t>
      </w:r>
    </w:p>
    <w:p>
      <w:pPr>
        <w:spacing w:after="160" w:line="320"/>
      </w:pPr>
      <w:r>
        <w:rPr>
          <w:rFonts w:ascii="Arial" w:cs="Arial" w:eastAsia="Arial" w:hAnsi="Arial"/>
          <w:b/>
          <w:bCs/>
          <w:color w:val="A8895C"/>
          <w:sz w:val="21"/>
          <w:szCs w:val="21"/>
        </w:rPr>
        <w:t xml:space="preserve">Point fort : </w:t>
      </w:r>
      <w:r>
        <w:rPr>
          <w:rFonts w:ascii="Arial" w:cs="Arial" w:eastAsia="Arial" w:hAnsi="Arial"/>
          <w:color w:val="6B6560"/>
          <w:sz w:val="21"/>
          <w:szCs w:val="21"/>
        </w:rPr>
        <w:t xml:space="preserve">Le système de design tokens (variables CSS) est exemplaire : --cream, --ink, --gold, --serif, --sans, --mono, --ease-out, etc. C’est un vrai design system embryonnaire avec une nomenclature cohérente.</w:t>
      </w:r>
    </w:p>
    <w:p>
      <w:pPr>
        <w:spacing w:after="160" w:line="320"/>
      </w:pPr>
      <w:r>
        <w:rPr>
          <w:rFonts w:ascii="Arial" w:cs="Arial" w:eastAsia="Arial" w:hAnsi="Arial"/>
          <w:b/>
          <w:bCs/>
          <w:color w:val="C0392B"/>
          <w:sz w:val="21"/>
          <w:szCs w:val="21"/>
        </w:rPr>
        <w:t xml:space="preserve">Point faible : </w:t>
      </w:r>
      <w:r>
        <w:rPr>
          <w:rFonts w:ascii="Arial" w:cs="Arial" w:eastAsia="Arial" w:hAnsi="Arial"/>
          <w:color w:val="6B6560"/>
          <w:sz w:val="21"/>
          <w:szCs w:val="21"/>
        </w:rPr>
        <w:t xml:space="preserve">Le contraste entre les niveaux hiérarchiques est insuffisant. Les eyebrows (0.58rem), le corps (0.875rem) et les sous-titres (1rem) sont trop proches en taille. Il faut un saut d’échelle plus marqué (ratio 1.333 ou 1.5 au lieu du 1.15 actuel).</w:t>
      </w:r>
    </w:p>
    <w:p>
      <w:pPr>
        <w:pStyle w:val="Heading2"/>
        <w:spacing w:after="150" w:before="300"/>
      </w:pPr>
      <w:r>
        <w:rPr>
          <w:rFonts w:ascii="Georgia" w:cs="Georgia" w:eastAsia="Georgia" w:hAnsi="Georgia"/>
          <w:b/>
          <w:bCs/>
          <w:color w:val="A8895C"/>
          <w:sz w:val="28"/>
          <w:szCs w:val="28"/>
        </w:rPr>
        <w:t xml:space="preserve">3.2 Palette chromatique</w:t>
      </w:r>
    </w:p>
    <w:p>
      <w:pPr>
        <w:spacing w:after="160" w:line="320"/>
        <w:jc w:val="left"/>
      </w:pPr>
      <w:r>
        <w:rPr>
          <w:rFonts w:ascii="Arial" w:cs="Arial" w:eastAsia="Arial" w:hAnsi="Arial"/>
          <w:color w:val="6B6560"/>
          <w:sz w:val="21"/>
          <w:szCs w:val="21"/>
        </w:rPr>
        <w:t xml:space="preserve">La palette --cream (#FAF5EF) / --ink (#1A1714) / --gold (#A8895C) est parfaitement calibrée pour un positionnement luxe artisanal. Les nuances intermédiaires (--cream-2, --cream-3, --gold-light, --gold-pale) offrent une profondeur suffisante pour les superpositions et les états hover.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1C40F"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MINEUR</w:t>
            </w:r>
          </w:p>
        </w:tc>
        <w:tc>
          <w:tcPr>
            <w:tcW w:type="dxa" w:w="8160"/>
            <w:tcBorders>
              <w:top w:val="none" w:color="FFFFFF" w:sz="0"/>
              <w:left w:val="none" w:color="FFFFFF" w:sz="0"/>
              <w:bottom w:val="none" w:color="FFFFFF" w:sz="0"/>
              <w:right w:val="none" w:color="FFFFFF" w:sz="0"/>
            </w:tcBorders>
            <w:shd w:fill="F0EDEA" w:val="clear"/>
            <w:tcMar>
              <w:top w:type="dxa" w:w="100"/>
              <w:left w:type="dxa" w:w="200"/>
              <w:bottom w:type="dxa" w:w="100"/>
              <w:right w:type="dxa" w:w="200"/>
            </w:tcMar>
          </w:tcPr>
          <w:p>
            <w:r>
              <w:rPr>
                <w:rFonts w:ascii="Arial" w:cs="Arial" w:eastAsia="Arial" w:hAnsi="Arial"/>
                <w:b/>
                <w:bCs/>
                <w:color w:val="1A1714"/>
                <w:sz w:val="22"/>
                <w:szCs w:val="22"/>
              </w:rPr>
              <w:t xml:space="preserve">Monochromie excessive</w:t>
            </w:r>
          </w:p>
        </w:tc>
      </w:tr>
    </w:tbl>
    <w:p>
      <w:pPr>
        <w:spacing w:after="160" w:line="320"/>
      </w:pPr>
      <w:r>
        <w:rPr>
          <w:rFonts w:ascii="Arial" w:cs="Arial" w:eastAsia="Arial" w:hAnsi="Arial"/>
          <w:b/>
          <w:bCs/>
          <w:color w:val="1A1714"/>
          <w:sz w:val="21"/>
          <w:szCs w:val="21"/>
        </w:rPr>
        <w:t xml:space="preserve">Constat : </w:t>
      </w:r>
      <w:r>
        <w:rPr>
          <w:rFonts w:ascii="Arial" w:cs="Arial" w:eastAsia="Arial" w:hAnsi="Arial"/>
          <w:color w:val="6B6560"/>
          <w:sz w:val="21"/>
          <w:szCs w:val="21"/>
        </w:rPr>
        <w:t xml:space="preserve">La palette repose exclusivement sur des tons chauds (beige/or/brun). Il n’y a aucune couleur d’accent froide pour créer un point focal différentiant. Les CTA, les badges, les alertes — tout est en or ou en noir.</w:t>
      </w:r>
    </w:p>
    <w:p>
      <w:pPr>
        <w:spacing w:after="160" w:line="320"/>
      </w:pPr>
      <w:r>
        <w:rPr>
          <w:rFonts w:ascii="Arial" w:cs="Arial" w:eastAsia="Arial" w:hAnsi="Arial"/>
          <w:b/>
          <w:bCs/>
          <w:color w:val="A8895C"/>
          <w:sz w:val="21"/>
          <w:szCs w:val="21"/>
        </w:rPr>
        <w:t xml:space="preserve">Recommandation : </w:t>
      </w:r>
      <w:r>
        <w:rPr>
          <w:rFonts w:ascii="Arial" w:cs="Arial" w:eastAsia="Arial" w:hAnsi="Arial"/>
          <w:color w:val="6B6560"/>
          <w:sz w:val="21"/>
          <w:szCs w:val="21"/>
        </w:rPr>
        <w:t xml:space="preserve">Introduire une couleur d’accent complémentaire pour les CTA de conversion (un vert olive profond #5B6F4E ou un bleu nuit #2C3E50) afin de créer un contraste attentionnel selon la théorie de Von Restorff (l’élément différent est mémorisé).</w:t>
      </w:r>
    </w:p>
    <w:p>
      <w:pPr>
        <w:spacing w:before="100"/>
      </w:pPr>
    </w:p>
    <w:p>
      <w:pPr>
        <w:pStyle w:val="Heading2"/>
        <w:spacing w:after="150" w:before="300"/>
      </w:pPr>
      <w:r>
        <w:rPr>
          <w:rFonts w:ascii="Georgia" w:cs="Georgia" w:eastAsia="Georgia" w:hAnsi="Georgia"/>
          <w:b/>
          <w:bCs/>
          <w:color w:val="A8895C"/>
          <w:sz w:val="28"/>
          <w:szCs w:val="28"/>
        </w:rPr>
        <w:t xml:space="preserve">3.3 Usage des espaces blancs</w:t>
      </w:r>
    </w:p>
    <w:p>
      <w:pPr>
        <w:spacing w:after="160" w:line="320"/>
        <w:jc w:val="left"/>
      </w:pPr>
      <w:r>
        <w:rPr>
          <w:rFonts w:ascii="Arial" w:cs="Arial" w:eastAsia="Arial" w:hAnsi="Arial"/>
          <w:color w:val="6B6560"/>
          <w:sz w:val="21"/>
          <w:szCs w:val="21"/>
        </w:rPr>
        <w:t xml:space="preserve">L’espace blanc est généreux — trop généreux. Le padding des sections (7rem, soit 112px) combiné aux margins internes crée des zones de 200+ pixels de vide pur. Le ratio contenu/vide est d’environ 40/60, alors qu’un site de luxe performant vise 55/45. Les marques de référence comme Cédric Grolet ou Pierre Hermé utilisent un espacement maîtrisé sans jamais tomber dans le vide.</w:t>
      </w:r>
    </w:p>
    <w:p>
      <w:pPr>
        <w:pStyle w:val="Heading2"/>
        <w:spacing w:after="150" w:before="300"/>
      </w:pPr>
      <w:r>
        <w:rPr>
          <w:rFonts w:ascii="Georgia" w:cs="Georgia" w:eastAsia="Georgia" w:hAnsi="Georgia"/>
          <w:b/>
          <w:bCs/>
          <w:color w:val="A8895C"/>
          <w:sz w:val="28"/>
          <w:szCs w:val="28"/>
        </w:rPr>
        <w:t xml:space="preserve">3.4 Cohérence du branding « luxe »</w:t>
      </w:r>
    </w:p>
    <w:p>
      <w:pPr>
        <w:spacing w:after="160" w:line="320"/>
        <w:jc w:val="left"/>
      </w:pPr>
      <w:r>
        <w:rPr>
          <w:rFonts w:ascii="Arial" w:cs="Arial" w:eastAsia="Arial" w:hAnsi="Arial"/>
          <w:color w:val="6B6560"/>
          <w:sz w:val="21"/>
          <w:szCs w:val="21"/>
        </w:rPr>
        <w:t xml:space="preserve">Le branding communique efficacement le luxe artisanal grâce à plusieurs choix forts : le grain overlay (texture noise en SVG sur body::after à opacity 0.04), la scrollbar custom en or (2px), le logo monogramme « M », et la micro-typographie soignée. Le glassmorphism de la navbar (backdrop-filter: blur(24px) saturate(1.6)) est un détail premium qui fonctionne.</w:t>
      </w:r>
    </w:p>
    <w:p>
      <w:pPr>
        <w:spacing w:after="160" w:line="320"/>
      </w:pPr>
      <w:r>
        <w:rPr>
          <w:rFonts w:ascii="Arial" w:cs="Arial" w:eastAsia="Arial" w:hAnsi="Arial"/>
          <w:b/>
          <w:bCs/>
          <w:color w:val="C0392B"/>
          <w:sz w:val="21"/>
          <w:szCs w:val="21"/>
        </w:rPr>
        <w:t xml:space="preserve">Alerte :</w:t>
      </w:r>
      <w:r>
        <w:rPr>
          <w:rFonts w:ascii="Arial" w:cs="Arial" w:eastAsia="Arial" w:hAnsi="Arial"/>
          <w:color w:val="6B6560"/>
          <w:sz w:val="21"/>
          <w:szCs w:val="21"/>
        </w:rPr>
        <w:t xml:space="preserve"> Le chatbot B2B en bas à droite (widget bulle) casse l’élégance de l’ensemble. Son design générique détonne dans un univers aussi soigné. Le redesigner intégralement ou le remplacer par un CTA flottant de type « WhatsApp Business » plus adapté à la cible restaurateur.</w:t>
      </w:r>
    </w:p>
    <w:r>
      <w:br w:type="page"/>
    </w:r>
    <w:p>
      <w:pPr>
        <w:pStyle w:val="Heading1"/>
        <w:spacing w:after="200" w:before="400"/>
      </w:pPr>
      <w:r>
        <w:rPr>
          <w:rFonts w:ascii="Georgia" w:cs="Georgia" w:eastAsia="Georgia" w:hAnsi="Georgia"/>
          <w:b/>
          <w:bCs/>
          <w:color w:val="1A1714"/>
          <w:sz w:val="36"/>
          <w:szCs w:val="36"/>
        </w:rPr>
        <w:t xml:space="preserve">4. Audit Marketing &amp; Psychologie</w:t>
      </w:r>
    </w:p>
    <w:p>
      <w:pPr>
        <w:pBdr>
          <w:bottom w:val="single" w:color="A8895C" w:sz="4" w:space="1"/>
        </w:pBdr>
        <w:spacing w:after="100" w:before="100"/>
      </w:pPr>
    </w:p>
    <w:p>
      <w:pPr>
        <w:pStyle w:val="Heading2"/>
        <w:spacing w:after="150" w:before="300"/>
      </w:pPr>
      <w:r>
        <w:rPr>
          <w:rFonts w:ascii="Georgia" w:cs="Georgia" w:eastAsia="Georgia" w:hAnsi="Georgia"/>
          <w:b/>
          <w:bCs/>
          <w:color w:val="A8895C"/>
          <w:sz w:val="28"/>
          <w:szCs w:val="28"/>
        </w:rPr>
        <w:t xml:space="preserve">4.1 Preuve sociale (Social Proof)</w:t>
      </w:r>
    </w:p>
    <w:p>
      <w:pPr>
        <w:spacing w:after="160" w:line="320"/>
        <w:jc w:val="left"/>
      </w:pPr>
      <w:r>
        <w:rPr>
          <w:rFonts w:ascii="Arial" w:cs="Arial" w:eastAsia="Arial" w:hAnsi="Arial"/>
          <w:color w:val="6B6560"/>
          <w:sz w:val="21"/>
          <w:szCs w:val="21"/>
        </w:rPr>
        <w:t xml:space="preserve">Le site déploie trois mécanismes de preuve sociale : un KPI bar (200+ pièces/semaine, 6j/7, 15+ partenaires), trois témoignages de partenaires (L’Avenue Grill, Full Dessert, Royal Pâtisserie), et un bandeau de logos partenaires (7 logos). C’est un bon début, mais insuffisant pour une marque créée en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MAJEUR</w:t>
            </w:r>
          </w:p>
        </w:tc>
        <w:tc>
          <w:tcPr>
            <w:tcW w:type="dxa" w:w="8160"/>
            <w:tcBorders>
              <w:top w:val="none" w:color="FFFFFF" w:sz="0"/>
              <w:left w:val="none" w:color="FFFFFF" w:sz="0"/>
              <w:bottom w:val="none" w:color="FFFFFF" w:sz="0"/>
              <w:right w:val="none" w:color="FFFFFF" w:sz="0"/>
            </w:tcBorders>
            <w:shd w:fill="F0EDEA" w:val="clear"/>
            <w:tcMar>
              <w:top w:type="dxa" w:w="100"/>
              <w:left w:type="dxa" w:w="200"/>
              <w:bottom w:type="dxa" w:w="100"/>
              <w:right w:type="dxa" w:w="200"/>
            </w:tcMar>
          </w:tcPr>
          <w:p>
            <w:r>
              <w:rPr>
                <w:rFonts w:ascii="Arial" w:cs="Arial" w:eastAsia="Arial" w:hAnsi="Arial"/>
                <w:b/>
                <w:bCs/>
                <w:color w:val="1A1714"/>
                <w:sz w:val="22"/>
                <w:szCs w:val="22"/>
              </w:rPr>
              <w:t xml:space="preserve">Preuve sociale incomplète</w:t>
            </w:r>
          </w:p>
        </w:tc>
      </w:tr>
    </w:tbl>
    <w:p>
      <w:pPr>
        <w:spacing w:after="160" w:line="320"/>
      </w:pPr>
      <w:r>
        <w:rPr>
          <w:rFonts w:ascii="Arial" w:cs="Arial" w:eastAsia="Arial" w:hAnsi="Arial"/>
          <w:b/>
          <w:bCs/>
          <w:color w:val="1A1714"/>
          <w:sz w:val="21"/>
          <w:szCs w:val="21"/>
        </w:rPr>
        <w:t xml:space="preserve">Constat : </w:t>
      </w:r>
      <w:r>
        <w:rPr>
          <w:rFonts w:ascii="Arial" w:cs="Arial" w:eastAsia="Arial" w:hAnsi="Arial"/>
          <w:color w:val="6B6560"/>
          <w:sz w:val="21"/>
          <w:szCs w:val="21"/>
        </w:rPr>
        <w:t xml:space="preserve">Les KPI sont imprécis (« 200+ pièces/semaine » manque de contexte). Les témoignages n’ont pas de photos des personnes citées, seulement des logos d’établissements. Les logos partenaires sont petits (80x38px) et peu lisibles. Il n’y a pas de métriques business concrètes (ROI, ticket moyen, etc.) sauf dans les témoignages eux-mêmes (+45% contenu Instagram, +30% ticket dessert).</w:t>
      </w:r>
    </w:p>
    <w:p>
      <w:pPr>
        <w:spacing w:after="160" w:line="320"/>
      </w:pPr>
      <w:r>
        <w:rPr>
          <w:rFonts w:ascii="Arial" w:cs="Arial" w:eastAsia="Arial" w:hAnsi="Arial"/>
          <w:b/>
          <w:bCs/>
          <w:color w:val="A8895C"/>
          <w:sz w:val="21"/>
          <w:szCs w:val="21"/>
        </w:rPr>
        <w:t xml:space="preserve">Recommandation : </w:t>
      </w:r>
      <w:r>
        <w:rPr>
          <w:rFonts w:ascii="Arial" w:cs="Arial" w:eastAsia="Arial" w:hAnsi="Arial"/>
          <w:color w:val="6B6560"/>
          <w:sz w:val="21"/>
          <w:szCs w:val="21"/>
        </w:rPr>
        <w:t xml:space="preserve">Transformer les KPI en métriques de résultat : « +30% de ticket moyen dessert en moyenne », « 15 établissements partenaires en 12 mois ». Ajouter des portraits photo des chefs/gérants à côté des témoignages. Intégrer un carrousel Instagram/TikTok montrant les réactions clients en temps réel.</w:t>
      </w:r>
    </w:p>
    <w:p>
      <w:pPr>
        <w:spacing w:before="100"/>
      </w:pPr>
    </w:p>
    <w:p>
      <w:pPr>
        <w:pStyle w:val="Heading2"/>
        <w:spacing w:after="150" w:before="300"/>
      </w:pPr>
      <w:r>
        <w:rPr>
          <w:rFonts w:ascii="Georgia" w:cs="Georgia" w:eastAsia="Georgia" w:hAnsi="Georgia"/>
          <w:b/>
          <w:bCs/>
          <w:color w:val="A8895C"/>
          <w:sz w:val="28"/>
          <w:szCs w:val="28"/>
        </w:rPr>
        <w:t xml:space="preserve">4.2 Leviers de persuasion</w:t>
      </w:r>
    </w:p>
    <w:p>
      <w:pPr>
        <w:spacing w:after="100" w:before="200"/>
      </w:pPr>
      <w:r>
        <w:rPr>
          <w:rFonts w:ascii="Arial" w:cs="Arial" w:eastAsia="Arial" w:hAnsi="Arial"/>
          <w:b/>
          <w:bCs/>
          <w:color w:val="1A1714"/>
          <w:sz w:val="22"/>
          <w:szCs w:val="22"/>
        </w:rPr>
        <w:t xml:space="preserve">Rareté</w:t>
      </w:r>
    </w:p>
    <w:p>
      <w:pPr>
        <w:spacing w:after="160" w:line="320"/>
        <w:jc w:val="left"/>
      </w:pPr>
      <w:r>
        <w:rPr>
          <w:rFonts w:ascii="Arial" w:cs="Arial" w:eastAsia="Arial" w:hAnsi="Arial"/>
          <w:color w:val="6B6560"/>
          <w:sz w:val="21"/>
          <w:szCs w:val="21"/>
        </w:rPr>
        <w:t xml:space="preserve">La rareté est totalement absente. Aucune mention de séries limitées, de collections saisonnières, ou de quantités disponibles. Le PDF d’implantation mentionne pourtant une approche « collection de joaillerie » qui se prête naturellement à l’exclusivité. Recommandation : créer des « éditions saisonnières » avec un compteur de disponibilité.</w:t>
      </w:r>
    </w:p>
    <w:p>
      <w:pPr>
        <w:spacing w:after="100" w:before="200"/>
      </w:pPr>
      <w:r>
        <w:rPr>
          <w:rFonts w:ascii="Arial" w:cs="Arial" w:eastAsia="Arial" w:hAnsi="Arial"/>
          <w:b/>
          <w:bCs/>
          <w:color w:val="1A1714"/>
          <w:sz w:val="22"/>
          <w:szCs w:val="22"/>
        </w:rPr>
        <w:t xml:space="preserve">Autorité</w:t>
      </w:r>
    </w:p>
    <w:p>
      <w:pPr>
        <w:spacing w:after="160" w:line="320"/>
        <w:jc w:val="left"/>
      </w:pPr>
      <w:r>
        <w:rPr>
          <w:rFonts w:ascii="Arial" w:cs="Arial" w:eastAsia="Arial" w:hAnsi="Arial"/>
          <w:color w:val="6B6560"/>
          <w:sz w:val="21"/>
          <w:szCs w:val="21"/>
        </w:rPr>
        <w:t xml:space="preserve">L’autorité est faiblement établie. Le chef pâtissier Hamza Hamdi est mentionné dans le PDF d’implantation mais absent du site. Il n’y a pas de page « Notre Histoire », pas de portrait, pas de parcours. Pour un métier où le chef EST la marque, c’est une lacune majeure. Recommandation : créer une section « Le Fondateur » avec portrait professionnel, parcours, et vision.</w:t>
      </w:r>
    </w:p>
    <w:p>
      <w:pPr>
        <w:spacing w:after="100" w:before="200"/>
      </w:pPr>
      <w:r>
        <w:rPr>
          <w:rFonts w:ascii="Arial" w:cs="Arial" w:eastAsia="Arial" w:hAnsi="Arial"/>
          <w:b/>
          <w:bCs/>
          <w:color w:val="1A1714"/>
          <w:sz w:val="22"/>
          <w:szCs w:val="22"/>
        </w:rPr>
        <w:t xml:space="preserve">Désirabilité</w:t>
      </w:r>
    </w:p>
    <w:p>
      <w:pPr>
        <w:spacing w:after="160" w:line="320"/>
        <w:jc w:val="left"/>
      </w:pPr>
      <w:r>
        <w:rPr>
          <w:rFonts w:ascii="Arial" w:cs="Arial" w:eastAsia="Arial" w:hAnsi="Arial"/>
          <w:color w:val="6B6560"/>
          <w:sz w:val="21"/>
          <w:szCs w:val="21"/>
        </w:rPr>
        <w:t xml:space="preserve">C’est le point fort. La photographie produit est exceptionnelle — éclairage studio, fond neutre, ombres portées subtiles. La vidéo de découpe ASMR avec l’overlay style Reels (faux likes, faux commentaires Instagram) est un coup de génie marketing. Le « reel overlay » mime le format viral natif et ancre le produit dans la culture social media de la cible.</w:t>
      </w:r>
    </w:p>
    <w:p>
      <w:pPr>
        <w:pStyle w:val="Heading2"/>
        <w:spacing w:after="150" w:before="300"/>
      </w:pPr>
      <w:r>
        <w:rPr>
          <w:rFonts w:ascii="Georgia" w:cs="Georgia" w:eastAsia="Georgia" w:hAnsi="Georgia"/>
          <w:b/>
          <w:bCs/>
          <w:color w:val="A8895C"/>
          <w:sz w:val="28"/>
          <w:szCs w:val="28"/>
        </w:rPr>
        <w:t xml:space="preserve">4.3 Réassurance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MAJEUR</w:t>
            </w:r>
          </w:p>
        </w:tc>
        <w:tc>
          <w:tcPr>
            <w:tcW w:type="dxa" w:w="8160"/>
            <w:tcBorders>
              <w:top w:val="none" w:color="FFFFFF" w:sz="0"/>
              <w:left w:val="none" w:color="FFFFFF" w:sz="0"/>
              <w:bottom w:val="none" w:color="FFFFFF" w:sz="0"/>
              <w:right w:val="none" w:color="FFFFFF" w:sz="0"/>
            </w:tcBorders>
            <w:shd w:fill="F0EDEA" w:val="clear"/>
            <w:tcMar>
              <w:top w:type="dxa" w:w="100"/>
              <w:left w:type="dxa" w:w="200"/>
              <w:bottom w:type="dxa" w:w="100"/>
              <w:right w:type="dxa" w:w="200"/>
            </w:tcMar>
          </w:tcPr>
          <w:p>
            <w:r>
              <w:rPr>
                <w:rFonts w:ascii="Arial" w:cs="Arial" w:eastAsia="Arial" w:hAnsi="Arial"/>
                <w:b/>
                <w:bCs/>
                <w:color w:val="1A1714"/>
                <w:sz w:val="22"/>
                <w:szCs w:val="22"/>
              </w:rPr>
              <w:t xml:space="preserve">Barrières à la conversion non levées</w:t>
            </w:r>
          </w:p>
        </w:tc>
      </w:tr>
    </w:tbl>
    <w:p>
      <w:pPr>
        <w:spacing w:after="160" w:line="320"/>
      </w:pPr>
      <w:r>
        <w:rPr>
          <w:rFonts w:ascii="Arial" w:cs="Arial" w:eastAsia="Arial" w:hAnsi="Arial"/>
          <w:b/>
          <w:bCs/>
          <w:color w:val="1A1714"/>
          <w:sz w:val="21"/>
          <w:szCs w:val="21"/>
        </w:rPr>
        <w:t xml:space="preserve">Constat : </w:t>
      </w:r>
      <w:r>
        <w:rPr>
          <w:rFonts w:ascii="Arial" w:cs="Arial" w:eastAsia="Arial" w:hAnsi="Arial"/>
          <w:color w:val="6B6560"/>
          <w:sz w:val="21"/>
          <w:szCs w:val="21"/>
        </w:rPr>
        <w:t xml:space="preserve">Les FAQ répondent aux questions logistiques (volumes, livraison, conservation, tarifs) mais ne traitent pas les objections psychologiques : « Et si mes clients n’aiment pas ? », « Comment justifier le prix sur ma carte ? », « Que se passe-t-il si une livraison est endommagée ? ».</w:t>
      </w:r>
    </w:p>
    <w:p>
      <w:pPr>
        <w:spacing w:after="160" w:line="320"/>
      </w:pPr>
      <w:r>
        <w:rPr>
          <w:rFonts w:ascii="Arial" w:cs="Arial" w:eastAsia="Arial" w:hAnsi="Arial"/>
          <w:b/>
          <w:bCs/>
          <w:color w:val="A8895C"/>
          <w:sz w:val="21"/>
          <w:szCs w:val="21"/>
        </w:rPr>
        <w:t xml:space="preserve">Recommandation : </w:t>
      </w:r>
      <w:r>
        <w:rPr>
          <w:rFonts w:ascii="Arial" w:cs="Arial" w:eastAsia="Arial" w:hAnsi="Arial"/>
          <w:color w:val="6B6560"/>
          <w:sz w:val="21"/>
          <w:szCs w:val="21"/>
        </w:rPr>
        <w:t xml:space="preserve">Ajouter 3 FAQ orientées objections. Créer un bloc « Garanties » visible : « Dégustation gratuite », « Réponse sous 24h », « Remplacement garanti en cas de dommage ». Positionner ce bloc avant le formulaire, pas dans une FAQ enfouie.</w:t>
      </w:r>
    </w:p>
    <w:p>
      <w:pPr>
        <w:spacing w:before="100"/>
      </w:pPr>
    </w:p>
    <w:r>
      <w:br w:type="page"/>
    </w:r>
    <w:p>
      <w:pPr>
        <w:pStyle w:val="Heading1"/>
        <w:spacing w:after="200" w:before="400"/>
      </w:pPr>
      <w:r>
        <w:rPr>
          <w:rFonts w:ascii="Georgia" w:cs="Georgia" w:eastAsia="Georgia" w:hAnsi="Georgia"/>
          <w:b/>
          <w:bCs/>
          <w:color w:val="1A1714"/>
          <w:sz w:val="36"/>
          <w:szCs w:val="36"/>
        </w:rPr>
        <w:t xml:space="preserve">5. Analyse Technique &amp; Mobile</w:t>
      </w:r>
    </w:p>
    <w:p>
      <w:pPr>
        <w:pBdr>
          <w:bottom w:val="single" w:color="A8895C" w:sz="4" w:space="1"/>
        </w:pBdr>
        <w:spacing w:after="100" w:before="100"/>
      </w:pPr>
    </w:p>
    <w:p>
      <w:pPr>
        <w:pStyle w:val="Heading2"/>
        <w:spacing w:after="150" w:before="300"/>
      </w:pPr>
      <w:r>
        <w:rPr>
          <w:rFonts w:ascii="Georgia" w:cs="Georgia" w:eastAsia="Georgia" w:hAnsi="Georgia"/>
          <w:b/>
          <w:bCs/>
          <w:color w:val="A8895C"/>
          <w:sz w:val="28"/>
          <w:szCs w:val="28"/>
        </w:rPr>
        <w:t xml:space="preserve">5.1 Architecture CSS</w:t>
      </w:r>
    </w:p>
    <w:p>
      <w:pPr>
        <w:spacing w:after="160" w:line="320"/>
        <w:jc w:val="left"/>
      </w:pPr>
      <w:r>
        <w:rPr>
          <w:rFonts w:ascii="Arial" w:cs="Arial" w:eastAsia="Arial" w:hAnsi="Arial"/>
          <w:color w:val="6B6560"/>
          <w:sz w:val="21"/>
          <w:szCs w:val="21"/>
        </w:rPr>
        <w:t xml:space="preserve">Le site utilise un système CSS bien structuré avec un fichier principal (styles.css, ~70 Ko) et un fichier spécifique homepage (homepage.css, ~16 Ko). Les design tokens en :root sont bien définis. L’usage de clamp() pour le responsive typographique est correct. Les animations reposent sur GSAP + ScrollTrigger, chargés en defer, ce qui est une bonne pratique.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1C40F"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MINEUR</w:t>
            </w:r>
          </w:p>
        </w:tc>
        <w:tc>
          <w:tcPr>
            <w:tcW w:type="dxa" w:w="8160"/>
            <w:tcBorders>
              <w:top w:val="none" w:color="FFFFFF" w:sz="0"/>
              <w:left w:val="none" w:color="FFFFFF" w:sz="0"/>
              <w:bottom w:val="none" w:color="FFFFFF" w:sz="0"/>
              <w:right w:val="none" w:color="FFFFFF" w:sz="0"/>
            </w:tcBorders>
            <w:shd w:fill="F0EDEA" w:val="clear"/>
            <w:tcMar>
              <w:top w:type="dxa" w:w="100"/>
              <w:left w:type="dxa" w:w="200"/>
              <w:bottom w:type="dxa" w:w="100"/>
              <w:right w:type="dxa" w:w="200"/>
            </w:tcMar>
          </w:tcPr>
          <w:p>
            <w:r>
              <w:rPr>
                <w:rFonts w:ascii="Arial" w:cs="Arial" w:eastAsia="Arial" w:hAnsi="Arial"/>
                <w:b/>
                <w:bCs/>
                <w:color w:val="1A1714"/>
                <w:sz w:val="22"/>
                <w:szCs w:val="22"/>
              </w:rPr>
              <w:t xml:space="preserve">Poids CSS excessif</w:t>
            </w:r>
          </w:p>
        </w:tc>
      </w:tr>
    </w:tbl>
    <w:p>
      <w:pPr>
        <w:spacing w:after="160" w:line="320"/>
      </w:pPr>
      <w:r>
        <w:rPr>
          <w:rFonts w:ascii="Arial" w:cs="Arial" w:eastAsia="Arial" w:hAnsi="Arial"/>
          <w:b/>
          <w:bCs/>
          <w:color w:val="1A1714"/>
          <w:sz w:val="21"/>
          <w:szCs w:val="21"/>
        </w:rPr>
        <w:t xml:space="preserve">Constat : </w:t>
      </w:r>
      <w:r>
        <w:rPr>
          <w:rFonts w:ascii="Arial" w:cs="Arial" w:eastAsia="Arial" w:hAnsi="Arial"/>
          <w:color w:val="6B6560"/>
          <w:sz w:val="21"/>
          <w:szCs w:val="21"/>
        </w:rPr>
        <w:t xml:space="preserve">70 Ko de CSS pour un site de cette taille est élevé. Beaucoup de styles inline dans les pages spécifiques (partenaires.html intègre ~300 lignes de &lt;style&gt; inline). La duplication est visible entre styles.css et les styles inline de chaque page.</w:t>
      </w:r>
    </w:p>
    <w:p>
      <w:pPr>
        <w:spacing w:after="160" w:line="320"/>
      </w:pPr>
      <w:r>
        <w:rPr>
          <w:rFonts w:ascii="Arial" w:cs="Arial" w:eastAsia="Arial" w:hAnsi="Arial"/>
          <w:b/>
          <w:bCs/>
          <w:color w:val="A8895C"/>
          <w:sz w:val="21"/>
          <w:szCs w:val="21"/>
        </w:rPr>
        <w:t xml:space="preserve">Recommandation : </w:t>
      </w:r>
      <w:r>
        <w:rPr>
          <w:rFonts w:ascii="Arial" w:cs="Arial" w:eastAsia="Arial" w:hAnsi="Arial"/>
          <w:color w:val="6B6560"/>
          <w:sz w:val="21"/>
          <w:szCs w:val="21"/>
        </w:rPr>
        <w:t xml:space="preserve">Extraire les styles inline dans des fichiers CSS dédiés (partenaires.css, evenements.css). Auditer les règles inutilisées avec PurgeCSS. Objectif : descendre sous 50 Ko total.</w:t>
      </w:r>
    </w:p>
    <w:p>
      <w:pPr>
        <w:spacing w:before="100"/>
      </w:pPr>
    </w:p>
    <w:p>
      <w:pPr>
        <w:pStyle w:val="Heading2"/>
        <w:spacing w:after="150" w:before="300"/>
      </w:pPr>
      <w:r>
        <w:rPr>
          <w:rFonts w:ascii="Georgia" w:cs="Georgia" w:eastAsia="Georgia" w:hAnsi="Georgia"/>
          <w:b/>
          <w:bCs/>
          <w:color w:val="A8895C"/>
          <w:sz w:val="28"/>
          <w:szCs w:val="28"/>
        </w:rPr>
        <w:t xml:space="preserve">5.2 Performance de chargement</w:t>
      </w:r>
    </w:p>
    <w:p>
      <w:pPr>
        <w:spacing w:after="160" w:line="320"/>
        <w:jc w:val="left"/>
      </w:pPr>
      <w:r>
        <w:rPr>
          <w:rFonts w:ascii="Arial" w:cs="Arial" w:eastAsia="Arial" w:hAnsi="Arial"/>
          <w:color w:val="6B6560"/>
          <w:sz w:val="21"/>
          <w:szCs w:val="21"/>
        </w:rPr>
        <w:t xml:space="preserve">Points positifs : les images sont en WebP, le hero est preloadé, Google Fonts utilise preconnect, GSAP est en defer. Points d’attention : la vidéo de découpe (peche-decoupe.mp4) est en autoplay, ce qui impacte le First Contentful Paint sur mobile. Le grain overlay SVG (body::after) est en position fixed avec z-index 9999, ce qui crée une couche composite permanente — impact GPU sur appareils mobiles d’entrée de gamme.</w:t>
      </w:r>
    </w:p>
    <w:p>
      <w:pPr>
        <w:pStyle w:val="Heading2"/>
        <w:spacing w:after="150" w:before="300"/>
      </w:pPr>
      <w:r>
        <w:rPr>
          <w:rFonts w:ascii="Georgia" w:cs="Georgia" w:eastAsia="Georgia" w:hAnsi="Georgia"/>
          <w:b/>
          <w:bCs/>
          <w:color w:val="A8895C"/>
          <w:sz w:val="28"/>
          <w:szCs w:val="28"/>
        </w:rPr>
        <w:t xml:space="preserve">5.3 Responsivité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16"/>
                <w:szCs w:val="16"/>
              </w:rPr>
              <w:t xml:space="preserve">MAJEUR</w:t>
            </w:r>
          </w:p>
        </w:tc>
        <w:tc>
          <w:tcPr>
            <w:tcW w:type="dxa" w:w="8160"/>
            <w:tcBorders>
              <w:top w:val="none" w:color="FFFFFF" w:sz="0"/>
              <w:left w:val="none" w:color="FFFFFF" w:sz="0"/>
              <w:bottom w:val="none" w:color="FFFFFF" w:sz="0"/>
              <w:right w:val="none" w:color="FFFFFF" w:sz="0"/>
            </w:tcBorders>
            <w:shd w:fill="F0EDEA" w:val="clear"/>
            <w:tcMar>
              <w:top w:type="dxa" w:w="100"/>
              <w:left w:type="dxa" w:w="200"/>
              <w:bottom w:type="dxa" w:w="100"/>
              <w:right w:type="dxa" w:w="200"/>
            </w:tcMar>
          </w:tcPr>
          <w:p>
            <w:r>
              <w:rPr>
                <w:rFonts w:ascii="Arial" w:cs="Arial" w:eastAsia="Arial" w:hAnsi="Arial"/>
                <w:b/>
                <w:bCs/>
                <w:color w:val="1A1714"/>
                <w:sz w:val="22"/>
                <w:szCs w:val="22"/>
              </w:rPr>
              <w:t xml:space="preserve">Breakpoints et adaptation mobile insuffisants</w:t>
            </w:r>
          </w:p>
        </w:tc>
      </w:tr>
    </w:tbl>
    <w:p>
      <w:pPr>
        <w:spacing w:after="160" w:line="320"/>
      </w:pPr>
      <w:r>
        <w:rPr>
          <w:rFonts w:ascii="Arial" w:cs="Arial" w:eastAsia="Arial" w:hAnsi="Arial"/>
          <w:b/>
          <w:bCs/>
          <w:color w:val="1A1714"/>
          <w:sz w:val="21"/>
          <w:szCs w:val="21"/>
        </w:rPr>
        <w:t xml:space="preserve">Constat : </w:t>
      </w:r>
      <w:r>
        <w:rPr>
          <w:rFonts w:ascii="Arial" w:cs="Arial" w:eastAsia="Arial" w:hAnsi="Arial"/>
          <w:color w:val="6B6560"/>
          <w:sz w:val="21"/>
          <w:szCs w:val="21"/>
        </w:rPr>
        <w:t xml:space="preserve">L’analyse du CSS révèle des paddings desktop (6vw, 7vw) appliqués sans media query spécifique pour mobile. La grille catalogue (grid-template-columns: repeat(3, 1fr)) passe à 2 colonnes sur tablette mais les breakpoints ne sont pas visibles dans le CSS principal. La section hero utilise flex-direction: row avec l’image en position absolute, ce qui peut poser des problèmes d’empilement sur petit écran. Le chat widget en position fixed risque de chevaucher les CTA sur mobile.</w:t>
      </w:r>
    </w:p>
    <w:p>
      <w:pPr>
        <w:spacing w:after="160" w:line="320"/>
      </w:pPr>
      <w:r>
        <w:rPr>
          <w:rFonts w:ascii="Arial" w:cs="Arial" w:eastAsia="Arial" w:hAnsi="Arial"/>
          <w:b/>
          <w:bCs/>
          <w:color w:val="A8895C"/>
          <w:sz w:val="21"/>
          <w:szCs w:val="21"/>
        </w:rPr>
        <w:t xml:space="preserve">Recommandation : </w:t>
      </w:r>
      <w:r>
        <w:rPr>
          <w:rFonts w:ascii="Arial" w:cs="Arial" w:eastAsia="Arial" w:hAnsi="Arial"/>
          <w:color w:val="6B6560"/>
          <w:sz w:val="21"/>
          <w:szCs w:val="21"/>
        </w:rPr>
        <w:t xml:space="preserve">Auditer et définir 3 breakpoints explicites : mobile (&lt; 640px), tablette (640-1024px), desktop (&gt; 1024px). Sur mobile : catalogue en 1 colonne, hero en empilé vertical, chat widget masqué ou réduit. Réduire tous les paddings verticaux de 50% sur mobile.</w:t>
      </w:r>
    </w:p>
    <w:p>
      <w:pPr>
        <w:spacing w:before="100"/>
      </w:pPr>
    </w:p>
    <w:p>
      <w:pPr>
        <w:pStyle w:val="Heading2"/>
        <w:spacing w:after="150" w:before="300"/>
      </w:pPr>
      <w:r>
        <w:rPr>
          <w:rFonts w:ascii="Georgia" w:cs="Georgia" w:eastAsia="Georgia" w:hAnsi="Georgia"/>
          <w:b/>
          <w:bCs/>
          <w:color w:val="A8895C"/>
          <w:sz w:val="28"/>
          <w:szCs w:val="28"/>
        </w:rPr>
        <w:t xml:space="preserve">5.4 Accessibilité</w:t>
      </w:r>
    </w:p>
    <w:p>
      <w:pPr>
        <w:spacing w:after="160" w:line="320"/>
        <w:jc w:val="left"/>
      </w:pPr>
      <w:r>
        <w:rPr>
          <w:rFonts w:ascii="Arial" w:cs="Arial" w:eastAsia="Arial" w:hAnsi="Arial"/>
          <w:color w:val="6B6560"/>
          <w:sz w:val="21"/>
          <w:szCs w:val="21"/>
        </w:rPr>
        <w:t xml:space="preserve">Points positifs : skip-to-content présent, aria-labels sur les boutons, role=dialog sur les modales, noscript fallback pour les animations. Points d’amélioration : le contraste du texte doré sur fond crème est insuffisant (ratio ~3.2:1), les focus states ne sont pas visibles sur les liens de navigation, et l’autoplay vidéo sans contrôle accessible peut être problématique pour les utilisateurs sensibles au mouvement.</w:t>
      </w:r>
    </w:p>
    <w:r>
      <w:br w:type="page"/>
    </w:r>
    <w:p>
      <w:pPr>
        <w:pStyle w:val="Heading1"/>
        <w:spacing w:after="200" w:before="400"/>
      </w:pPr>
      <w:r>
        <w:rPr>
          <w:rFonts w:ascii="Georgia" w:cs="Georgia" w:eastAsia="Georgia" w:hAnsi="Georgia"/>
          <w:b/>
          <w:bCs/>
          <w:color w:val="1A1714"/>
          <w:sz w:val="36"/>
          <w:szCs w:val="36"/>
        </w:rPr>
        <w:t xml:space="preserve">6. Quick Wins &amp; Roadmap</w:t>
      </w:r>
    </w:p>
    <w:p>
      <w:pPr>
        <w:pBdr>
          <w:bottom w:val="single" w:color="A8895C" w:sz="4" w:space="1"/>
        </w:pBdr>
        <w:spacing w:after="100" w:before="100"/>
      </w:pPr>
    </w:p>
    <w:p>
      <w:pPr>
        <w:pStyle w:val="Heading2"/>
        <w:spacing w:after="150" w:before="300"/>
      </w:pPr>
      <w:r>
        <w:rPr>
          <w:rFonts w:ascii="Georgia" w:cs="Georgia" w:eastAsia="Georgia" w:hAnsi="Georgia"/>
          <w:b/>
          <w:bCs/>
          <w:color w:val="A8895C"/>
          <w:sz w:val="28"/>
          <w:szCs w:val="28"/>
        </w:rPr>
        <w:t xml:space="preserve">6.1 — 5 Actions Immédiates (à Fort Impact)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2000"/>
        <w:gridCol w:w="2000"/>
      </w:tblGrid>
      <w:tr>
        <w:tc>
          <w:tcPr>
            <w:tcW w:type="dxa" w:w="600"/>
            <w:tcBorders>
              <w:top w:val="single" w:color="E0DDD8" w:sz="1"/>
              <w:left w:val="single" w:color="E0DDD8" w:sz="1"/>
              <w:bottom w:val="single" w:color="E0DDD8" w:sz="1"/>
              <w:right w:val="single" w:color="E0DDD8" w:sz="1"/>
            </w:tcBorders>
            <w:shd w:fill="1A171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4760"/>
            <w:tcBorders>
              <w:top w:val="single" w:color="E0DDD8" w:sz="1"/>
              <w:left w:val="single" w:color="E0DDD8" w:sz="1"/>
              <w:bottom w:val="single" w:color="E0DDD8" w:sz="1"/>
              <w:right w:val="single" w:color="E0DDD8" w:sz="1"/>
            </w:tcBorders>
            <w:shd w:fill="1A171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E0DDD8" w:sz="1"/>
              <w:left w:val="single" w:color="E0DDD8" w:sz="1"/>
              <w:bottom w:val="single" w:color="E0DDD8" w:sz="1"/>
              <w:right w:val="single" w:color="E0DDD8" w:sz="1"/>
            </w:tcBorders>
            <w:shd w:fill="1A17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c>
          <w:tcPr>
            <w:tcW w:type="dxa" w:w="2000"/>
            <w:tcBorders>
              <w:top w:val="single" w:color="E0DDD8" w:sz="1"/>
              <w:left w:val="single" w:color="E0DDD8" w:sz="1"/>
              <w:bottom w:val="single" w:color="E0DDD8" w:sz="1"/>
              <w:right w:val="single" w:color="E0DDD8" w:sz="1"/>
            </w:tcBorders>
            <w:shd w:fill="1A171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EFFORT</w:t>
            </w:r>
          </w:p>
        </w:tc>
      </w:tr>
      <w:tr>
        <w:tc>
          <w:tcPr>
            <w:tcW w:type="dxa" w:w="600"/>
            <w:tcBorders>
              <w:top w:val="single" w:color="E0DDD8" w:sz="1"/>
              <w:left w:val="single" w:color="E0DDD8" w:sz="1"/>
              <w:bottom w:val="single" w:color="E0DDD8" w:sz="1"/>
              <w:right w:val="single" w:color="E0DDD8" w:sz="1"/>
            </w:tcBorders>
            <w:shd w:fill="A889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w:t>
            </w:r>
          </w:p>
        </w:tc>
        <w:tc>
          <w:tcPr>
            <w:tcW w:type="dxa" w:w="476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1A1714"/>
                <w:sz w:val="20"/>
                <w:szCs w:val="20"/>
              </w:rPr>
              <w:t xml:space="preserve">Augmenter le contraste du hook hero et du CTA (taille, couleur, poids)</w:t>
            </w:r>
          </w:p>
        </w:tc>
        <w:tc>
          <w:tcPr>
            <w:tcW w:type="dxa" w:w="2000"/>
            <w:tcBorders>
              <w:top w:val="single" w:color="E0DDD8" w:sz="1"/>
              <w:left w:val="single" w:color="E0DDD8" w:sz="1"/>
              <w:bottom w:val="single" w:color="E0DDD8" w:sz="1"/>
              <w:right w:val="single" w:color="E0DDD8" w:sz="1"/>
            </w:tcBorders>
            <w:tcMar>
              <w:top w:type="dxa" w:w="80"/>
              <w:left w:type="dxa" w:w="120"/>
              <w:bottom w:type="dxa" w:w="80"/>
              <w:right w:type="dxa" w:w="120"/>
            </w:tcMar>
          </w:tcPr>
          <w:p>
            <w:pPr>
              <w:jc w:val="center"/>
            </w:pPr>
            <w:r>
              <w:rPr>
                <w:rFonts w:ascii="Arial" w:cs="Arial" w:eastAsia="Arial" w:hAnsi="Arial"/>
                <w:b/>
                <w:bCs/>
                <w:color w:val="A8895C"/>
                <w:sz w:val="20"/>
                <w:szCs w:val="20"/>
              </w:rPr>
              <w:t xml:space="preserve">Conversion +15-25%</w:t>
            </w:r>
          </w:p>
        </w:tc>
        <w:tc>
          <w:tcPr>
            <w:tcW w:type="dxa" w:w="2000"/>
            <w:tcBorders>
              <w:top w:val="single" w:color="E0DDD8" w:sz="1"/>
              <w:left w:val="single" w:color="E0DDD8" w:sz="1"/>
              <w:bottom w:val="single" w:color="E0DDD8" w:sz="1"/>
              <w:right w:val="single" w:color="E0DDD8" w:sz="1"/>
            </w:tcBorders>
            <w:tcMar>
              <w:top w:type="dxa" w:w="80"/>
              <w:left w:type="dxa" w:w="120"/>
              <w:bottom w:type="dxa" w:w="80"/>
              <w:right w:type="dxa" w:w="120"/>
            </w:tcMar>
          </w:tcPr>
          <w:p>
            <w:pPr>
              <w:jc w:val="center"/>
            </w:pPr>
            <w:r>
              <w:rPr>
                <w:rFonts w:ascii="Arial" w:cs="Arial" w:eastAsia="Arial" w:hAnsi="Arial"/>
                <w:color w:val="6B6560"/>
                <w:sz w:val="20"/>
                <w:szCs w:val="20"/>
              </w:rPr>
              <w:t xml:space="preserve">2 heures</w:t>
            </w:r>
          </w:p>
        </w:tc>
      </w:tr>
      <w:tr>
        <w:tc>
          <w:tcPr>
            <w:tcW w:type="dxa" w:w="600"/>
            <w:tcBorders>
              <w:top w:val="single" w:color="E0DDD8" w:sz="1"/>
              <w:left w:val="single" w:color="E0DDD8" w:sz="1"/>
              <w:bottom w:val="single" w:color="E0DDD8" w:sz="1"/>
              <w:right w:val="single" w:color="E0DDD8" w:sz="1"/>
            </w:tcBorders>
            <w:shd w:fill="A889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w:t>
            </w:r>
          </w:p>
        </w:tc>
        <w:tc>
          <w:tcPr>
            <w:tcW w:type="dxa" w:w="476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1A1714"/>
                <w:sz w:val="20"/>
                <w:szCs w:val="20"/>
              </w:rPr>
              <w:t xml:space="preserve">Réduire les paddings inter-sections de 40% (desktop et mobile)</w:t>
            </w:r>
          </w:p>
        </w:tc>
        <w:tc>
          <w:tcPr>
            <w:tcW w:type="dxa" w:w="2000"/>
            <w:tcBorders>
              <w:top w:val="single" w:color="E0DDD8" w:sz="1"/>
              <w:left w:val="single" w:color="E0DDD8" w:sz="1"/>
              <w:bottom w:val="single" w:color="E0DDD8" w:sz="1"/>
              <w:right w:val="single" w:color="E0DDD8" w:sz="1"/>
            </w:tcBorders>
            <w:tcMar>
              <w:top w:type="dxa" w:w="80"/>
              <w:left w:type="dxa" w:w="120"/>
              <w:bottom w:type="dxa" w:w="80"/>
              <w:right w:type="dxa" w:w="120"/>
            </w:tcMar>
          </w:tcPr>
          <w:p>
            <w:pPr>
              <w:jc w:val="center"/>
            </w:pPr>
            <w:r>
              <w:rPr>
                <w:rFonts w:ascii="Arial" w:cs="Arial" w:eastAsia="Arial" w:hAnsi="Arial"/>
                <w:b/>
                <w:bCs/>
                <w:color w:val="A8895C"/>
                <w:sz w:val="20"/>
                <w:szCs w:val="20"/>
              </w:rPr>
              <w:t xml:space="preserve">Rétention +20%</w:t>
            </w:r>
          </w:p>
        </w:tc>
        <w:tc>
          <w:tcPr>
            <w:tcW w:type="dxa" w:w="2000"/>
            <w:tcBorders>
              <w:top w:val="single" w:color="E0DDD8" w:sz="1"/>
              <w:left w:val="single" w:color="E0DDD8" w:sz="1"/>
              <w:bottom w:val="single" w:color="E0DDD8" w:sz="1"/>
              <w:right w:val="single" w:color="E0DDD8" w:sz="1"/>
            </w:tcBorders>
            <w:tcMar>
              <w:top w:type="dxa" w:w="80"/>
              <w:left w:type="dxa" w:w="120"/>
              <w:bottom w:type="dxa" w:w="80"/>
              <w:right w:type="dxa" w:w="120"/>
            </w:tcMar>
          </w:tcPr>
          <w:p>
            <w:pPr>
              <w:jc w:val="center"/>
            </w:pPr>
            <w:r>
              <w:rPr>
                <w:rFonts w:ascii="Arial" w:cs="Arial" w:eastAsia="Arial" w:hAnsi="Arial"/>
                <w:color w:val="6B6560"/>
                <w:sz w:val="20"/>
                <w:szCs w:val="20"/>
              </w:rPr>
              <w:t xml:space="preserve">3 heures</w:t>
            </w:r>
          </w:p>
        </w:tc>
      </w:tr>
      <w:tr>
        <w:tc>
          <w:tcPr>
            <w:tcW w:type="dxa" w:w="600"/>
            <w:tcBorders>
              <w:top w:val="single" w:color="E0DDD8" w:sz="1"/>
              <w:left w:val="single" w:color="E0DDD8" w:sz="1"/>
              <w:bottom w:val="single" w:color="E0DDD8" w:sz="1"/>
              <w:right w:val="single" w:color="E0DDD8" w:sz="1"/>
            </w:tcBorders>
            <w:shd w:fill="A889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w:t>
            </w:r>
          </w:p>
        </w:tc>
        <w:tc>
          <w:tcPr>
            <w:tcW w:type="dxa" w:w="476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1A1714"/>
                <w:sz w:val="20"/>
                <w:szCs w:val="20"/>
              </w:rPr>
              <w:t xml:space="preserve">Ajouter un CTA contextuel après chaque section (vidéo, témoignages, catalogue)</w:t>
            </w:r>
          </w:p>
        </w:tc>
        <w:tc>
          <w:tcPr>
            <w:tcW w:type="dxa" w:w="2000"/>
            <w:tcBorders>
              <w:top w:val="single" w:color="E0DDD8" w:sz="1"/>
              <w:left w:val="single" w:color="E0DDD8" w:sz="1"/>
              <w:bottom w:val="single" w:color="E0DDD8" w:sz="1"/>
              <w:right w:val="single" w:color="E0DDD8" w:sz="1"/>
            </w:tcBorders>
            <w:tcMar>
              <w:top w:type="dxa" w:w="80"/>
              <w:left w:type="dxa" w:w="120"/>
              <w:bottom w:type="dxa" w:w="80"/>
              <w:right w:type="dxa" w:w="120"/>
            </w:tcMar>
          </w:tcPr>
          <w:p>
            <w:pPr>
              <w:jc w:val="center"/>
            </w:pPr>
            <w:r>
              <w:rPr>
                <w:rFonts w:ascii="Arial" w:cs="Arial" w:eastAsia="Arial" w:hAnsi="Arial"/>
                <w:b/>
                <w:bCs/>
                <w:color w:val="A8895C"/>
                <w:sz w:val="20"/>
                <w:szCs w:val="20"/>
              </w:rPr>
              <w:t xml:space="preserve">Leads +30%</w:t>
            </w:r>
          </w:p>
        </w:tc>
        <w:tc>
          <w:tcPr>
            <w:tcW w:type="dxa" w:w="2000"/>
            <w:tcBorders>
              <w:top w:val="single" w:color="E0DDD8" w:sz="1"/>
              <w:left w:val="single" w:color="E0DDD8" w:sz="1"/>
              <w:bottom w:val="single" w:color="E0DDD8" w:sz="1"/>
              <w:right w:val="single" w:color="E0DDD8" w:sz="1"/>
            </w:tcBorders>
            <w:tcMar>
              <w:top w:type="dxa" w:w="80"/>
              <w:left w:type="dxa" w:w="120"/>
              <w:bottom w:type="dxa" w:w="80"/>
              <w:right w:type="dxa" w:w="120"/>
            </w:tcMar>
          </w:tcPr>
          <w:p>
            <w:pPr>
              <w:jc w:val="center"/>
            </w:pPr>
            <w:r>
              <w:rPr>
                <w:rFonts w:ascii="Arial" w:cs="Arial" w:eastAsia="Arial" w:hAnsi="Arial"/>
                <w:color w:val="6B6560"/>
                <w:sz w:val="20"/>
                <w:szCs w:val="20"/>
              </w:rPr>
              <w:t xml:space="preserve">4 heures</w:t>
            </w:r>
          </w:p>
        </w:tc>
      </w:tr>
      <w:tr>
        <w:tc>
          <w:tcPr>
            <w:tcW w:type="dxa" w:w="600"/>
            <w:tcBorders>
              <w:top w:val="single" w:color="E0DDD8" w:sz="1"/>
              <w:left w:val="single" w:color="E0DDD8" w:sz="1"/>
              <w:bottom w:val="single" w:color="E0DDD8" w:sz="1"/>
              <w:right w:val="single" w:color="E0DDD8" w:sz="1"/>
            </w:tcBorders>
            <w:shd w:fill="A889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w:t>
            </w:r>
          </w:p>
        </w:tc>
        <w:tc>
          <w:tcPr>
            <w:tcW w:type="dxa" w:w="476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1A1714"/>
                <w:sz w:val="20"/>
                <w:szCs w:val="20"/>
              </w:rPr>
              <w:t xml:space="preserve">Lier les cards catalogue directement aux pages produit (supprimer la modale)</w:t>
            </w:r>
          </w:p>
        </w:tc>
        <w:tc>
          <w:tcPr>
            <w:tcW w:type="dxa" w:w="2000"/>
            <w:tcBorders>
              <w:top w:val="single" w:color="E0DDD8" w:sz="1"/>
              <w:left w:val="single" w:color="E0DDD8" w:sz="1"/>
              <w:bottom w:val="single" w:color="E0DDD8" w:sz="1"/>
              <w:right w:val="single" w:color="E0DDD8" w:sz="1"/>
            </w:tcBorders>
            <w:tcMar>
              <w:top w:type="dxa" w:w="80"/>
              <w:left w:type="dxa" w:w="120"/>
              <w:bottom w:type="dxa" w:w="80"/>
              <w:right w:type="dxa" w:w="120"/>
            </w:tcMar>
          </w:tcPr>
          <w:p>
            <w:pPr>
              <w:jc w:val="center"/>
            </w:pPr>
            <w:r>
              <w:rPr>
                <w:rFonts w:ascii="Arial" w:cs="Arial" w:eastAsia="Arial" w:hAnsi="Arial"/>
                <w:b/>
                <w:bCs/>
                <w:color w:val="A8895C"/>
                <w:sz w:val="20"/>
                <w:szCs w:val="20"/>
              </w:rPr>
              <w:t xml:space="preserve">SEO + UX</w:t>
            </w:r>
          </w:p>
        </w:tc>
        <w:tc>
          <w:tcPr>
            <w:tcW w:type="dxa" w:w="2000"/>
            <w:tcBorders>
              <w:top w:val="single" w:color="E0DDD8" w:sz="1"/>
              <w:left w:val="single" w:color="E0DDD8" w:sz="1"/>
              <w:bottom w:val="single" w:color="E0DDD8" w:sz="1"/>
              <w:right w:val="single" w:color="E0DDD8" w:sz="1"/>
            </w:tcBorders>
            <w:tcMar>
              <w:top w:type="dxa" w:w="80"/>
              <w:left w:type="dxa" w:w="120"/>
              <w:bottom w:type="dxa" w:w="80"/>
              <w:right w:type="dxa" w:w="120"/>
            </w:tcMar>
          </w:tcPr>
          <w:p>
            <w:pPr>
              <w:jc w:val="center"/>
            </w:pPr>
            <w:r>
              <w:rPr>
                <w:rFonts w:ascii="Arial" w:cs="Arial" w:eastAsia="Arial" w:hAnsi="Arial"/>
                <w:color w:val="6B6560"/>
                <w:sz w:val="20"/>
                <w:szCs w:val="20"/>
              </w:rPr>
              <w:t xml:space="preserve">2 heures</w:t>
            </w:r>
          </w:p>
        </w:tc>
      </w:tr>
      <w:tr>
        <w:tc>
          <w:tcPr>
            <w:tcW w:type="dxa" w:w="600"/>
            <w:tcBorders>
              <w:top w:val="single" w:color="E0DDD8" w:sz="1"/>
              <w:left w:val="single" w:color="E0DDD8" w:sz="1"/>
              <w:bottom w:val="single" w:color="E0DDD8" w:sz="1"/>
              <w:right w:val="single" w:color="E0DDD8" w:sz="1"/>
            </w:tcBorders>
            <w:shd w:fill="A889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w:t>
            </w:r>
          </w:p>
        </w:tc>
        <w:tc>
          <w:tcPr>
            <w:tcW w:type="dxa" w:w="476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Arial" w:cs="Arial" w:eastAsia="Arial" w:hAnsi="Arial"/>
                <w:color w:val="1A1714"/>
                <w:sz w:val="20"/>
                <w:szCs w:val="20"/>
              </w:rPr>
              <w:t xml:space="preserve">Ajouter les portraits photo aux témoignages + métriques business concrètes</w:t>
            </w:r>
          </w:p>
        </w:tc>
        <w:tc>
          <w:tcPr>
            <w:tcW w:type="dxa" w:w="2000"/>
            <w:tcBorders>
              <w:top w:val="single" w:color="E0DDD8" w:sz="1"/>
              <w:left w:val="single" w:color="E0DDD8" w:sz="1"/>
              <w:bottom w:val="single" w:color="E0DDD8" w:sz="1"/>
              <w:right w:val="single" w:color="E0DDD8" w:sz="1"/>
            </w:tcBorders>
            <w:tcMar>
              <w:top w:type="dxa" w:w="80"/>
              <w:left w:type="dxa" w:w="120"/>
              <w:bottom w:type="dxa" w:w="80"/>
              <w:right w:type="dxa" w:w="120"/>
            </w:tcMar>
          </w:tcPr>
          <w:p>
            <w:pPr>
              <w:jc w:val="center"/>
            </w:pPr>
            <w:r>
              <w:rPr>
                <w:rFonts w:ascii="Arial" w:cs="Arial" w:eastAsia="Arial" w:hAnsi="Arial"/>
                <w:b/>
                <w:bCs/>
                <w:color w:val="A8895C"/>
                <w:sz w:val="20"/>
                <w:szCs w:val="20"/>
              </w:rPr>
              <w:t xml:space="preserve">Confiance +25%</w:t>
            </w:r>
          </w:p>
        </w:tc>
        <w:tc>
          <w:tcPr>
            <w:tcW w:type="dxa" w:w="2000"/>
            <w:tcBorders>
              <w:top w:val="single" w:color="E0DDD8" w:sz="1"/>
              <w:left w:val="single" w:color="E0DDD8" w:sz="1"/>
              <w:bottom w:val="single" w:color="E0DDD8" w:sz="1"/>
              <w:right w:val="single" w:color="E0DDD8" w:sz="1"/>
            </w:tcBorders>
            <w:tcMar>
              <w:top w:type="dxa" w:w="80"/>
              <w:left w:type="dxa" w:w="120"/>
              <w:bottom w:type="dxa" w:w="80"/>
              <w:right w:type="dxa" w:w="120"/>
            </w:tcMar>
          </w:tcPr>
          <w:p>
            <w:pPr>
              <w:jc w:val="center"/>
            </w:pPr>
            <w:r>
              <w:rPr>
                <w:rFonts w:ascii="Arial" w:cs="Arial" w:eastAsia="Arial" w:hAnsi="Arial"/>
                <w:color w:val="6B6560"/>
                <w:sz w:val="20"/>
                <w:szCs w:val="20"/>
              </w:rPr>
              <w:t xml:space="preserve">1 jour</w:t>
            </w:r>
          </w:p>
        </w:tc>
      </w:tr>
    </w:tbl>
    <w:p>
      <w:pPr>
        <w:spacing w:before="400"/>
      </w:pPr>
    </w:p>
    <w:p>
      <w:pPr>
        <w:pStyle w:val="Heading2"/>
        <w:spacing w:after="150" w:before="300"/>
      </w:pPr>
      <w:r>
        <w:rPr>
          <w:rFonts w:ascii="Georgia" w:cs="Georgia" w:eastAsia="Georgia" w:hAnsi="Georgia"/>
          <w:b/>
          <w:bCs/>
          <w:color w:val="A8895C"/>
          <w:sz w:val="28"/>
          <w:szCs w:val="28"/>
        </w:rPr>
        <w:t xml:space="preserve">6.2 — 3 Recommandations Stratégiques (Long Terme)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FE3" w:val="clear"/>
            <w:tcMar>
              <w:top w:type="dxa" w:w="200"/>
              <w:left w:type="dxa" w:w="300"/>
              <w:bottom w:type="dxa" w:w="200"/>
              <w:right w:type="dxa" w:w="300"/>
            </w:tcMar>
          </w:tcPr>
          <w:p>
            <w:pPr>
              <w:spacing w:after="80"/>
            </w:pPr>
            <w:r>
              <w:rPr>
                <w:rFonts w:ascii="Georgia" w:cs="Georgia" w:eastAsia="Georgia" w:hAnsi="Georgia"/>
                <w:b/>
                <w:bCs/>
                <w:color w:val="A8895C"/>
                <w:sz w:val="24"/>
                <w:szCs w:val="24"/>
              </w:rPr>
              <w:t xml:space="preserve">1. Refonte architecturale : du One-Pager au Multi-Pages</w:t>
            </w:r>
          </w:p>
          <w:p>
            <w:pPr>
              <w:spacing w:after="0"/>
            </w:pPr>
            <w:r>
              <w:rPr>
                <w:rFonts w:ascii="Arial" w:cs="Arial" w:eastAsia="Arial" w:hAnsi="Arial"/>
                <w:color w:val="6B6560"/>
                <w:sz w:val="20"/>
                <w:szCs w:val="20"/>
              </w:rPr>
              <w:t xml:space="preserve">Créer de vraies pages séparées pour chaque section (Catalogue, Atelier, Notre Histoire, Contact Pro). Chaque page produit existe déjà — les rendre centrales. Ajouter un blog (coulisses, tendances pâtisserie, conseils restaurateurs) pour le SEO long-tail. Objectif : passer de 5 URLs indexées à 30+ en 6 mois. Ajout d’une navigation desktop horizontale complète.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FE3" w:val="clear"/>
            <w:tcMar>
              <w:top w:type="dxa" w:w="200"/>
              <w:left w:type="dxa" w:w="300"/>
              <w:bottom w:type="dxa" w:w="200"/>
              <w:right w:type="dxa" w:w="300"/>
            </w:tcMar>
          </w:tcPr>
          <w:p>
            <w:pPr>
              <w:spacing w:after="80"/>
            </w:pPr>
            <w:r>
              <w:rPr>
                <w:rFonts w:ascii="Georgia" w:cs="Georgia" w:eastAsia="Georgia" w:hAnsi="Georgia"/>
                <w:b/>
                <w:bCs/>
                <w:color w:val="A8895C"/>
                <w:sz w:val="24"/>
                <w:szCs w:val="24"/>
              </w:rPr>
              <w:t xml:space="preserve">2. Storytelling fondateur &amp; contenu vidéo</w:t>
            </w:r>
          </w:p>
          <w:p>
            <w:pPr>
              <w:spacing w:after="0"/>
            </w:pPr>
            <w:r>
              <w:rPr>
                <w:rFonts w:ascii="Arial" w:cs="Arial" w:eastAsia="Arial" w:hAnsi="Arial"/>
                <w:color w:val="6B6560"/>
                <w:sz w:val="20"/>
                <w:szCs w:val="20"/>
              </w:rPr>
              <w:t xml:space="preserve">Le chef Hamza Hamdi est invisible sur le site. Créer une page « Notre Histoire » avec portrait professionnel, parcours, et vision. Multiplier les vidéos courtes de découpe/révélation (c’est LE format viral pour ce produit). Intégrer un feed Instagram/TikTok sur le site. Objectif : transformer chaque visiteur en ambassadeur du contenu.</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FE3" w:val="clear"/>
            <w:tcMar>
              <w:top w:type="dxa" w:w="200"/>
              <w:left w:type="dxa" w:w="300"/>
              <w:bottom w:type="dxa" w:w="200"/>
              <w:right w:type="dxa" w:w="300"/>
            </w:tcMar>
          </w:tcPr>
          <w:p>
            <w:pPr>
              <w:spacing w:after="80"/>
            </w:pPr>
            <w:r>
              <w:rPr>
                <w:rFonts w:ascii="Georgia" w:cs="Georgia" w:eastAsia="Georgia" w:hAnsi="Georgia"/>
                <w:b/>
                <w:bCs/>
                <w:color w:val="A8895C"/>
                <w:sz w:val="24"/>
                <w:szCs w:val="24"/>
              </w:rPr>
              <w:t xml:space="preserve">3. Machine à conversion B2B : configurateur + lead nurturing</w:t>
            </w:r>
          </w:p>
          <w:p>
            <w:pPr>
              <w:spacing w:after="0"/>
            </w:pPr>
            <w:r>
              <w:rPr>
                <w:rFonts w:ascii="Arial" w:cs="Arial" w:eastAsia="Arial" w:hAnsi="Arial"/>
                <w:color w:val="6B6560"/>
                <w:sz w:val="20"/>
                <w:szCs w:val="20"/>
              </w:rPr>
              <w:t xml:space="preserve">Développer un configurateur de coffret interactif (choix des pièces, quantité, packaging) avec devis instantané. Créer un lead magnet PDF (le formulaire existe déjà avec Formspree) et une séquence email de nurturing. Mettre en place un CRM léger (Brevo, Pipedrive) pour suivre les leads du formulaire Espace Pro. Objectif : passer d’un site vitrine à un entonnoir de conversion mesurable.</w:t>
            </w:r>
          </w:p>
        </w:tc>
      </w:tr>
    </w:tbl>
    <w:p>
      <w:pPr>
        <w:spacing w:before="400"/>
      </w:pPr>
    </w:p>
    <w:p>
      <w:pPr>
        <w:pBdr>
          <w:bottom w:val="single" w:color="A8895C" w:sz="4" w:space="1"/>
        </w:pBdr>
        <w:spacing w:after="100" w:before="100"/>
      </w:pPr>
    </w:p>
    <w:p>
      <w:pPr>
        <w:spacing w:before="200"/>
      </w:pPr>
    </w:p>
    <w:p>
      <w:pPr>
        <w:spacing w:after="100"/>
        <w:jc w:val="center"/>
      </w:pPr>
      <w:r>
        <w:rPr>
          <w:rFonts w:ascii="Georgia" w:cs="Georgia" w:eastAsia="Georgia" w:hAnsi="Georgia"/>
          <w:color w:val="A8895C"/>
          <w:sz w:val="14"/>
          <w:szCs w:val="14"/>
        </w:rPr>
        <w:t xml:space="preserve">VERDICT FINAL</w:t>
      </w:r>
    </w:p>
    <w:p>
      <w:pPr>
        <w:spacing w:before="100"/>
      </w:pPr>
    </w:p>
    <w:p>
      <w:pPr>
        <w:spacing w:after="200"/>
        <w:jc w:val="center"/>
      </w:pPr>
      <w:r>
        <w:rPr>
          <w:rFonts w:ascii="Arial" w:cs="Arial" w:eastAsia="Arial" w:hAnsi="Arial"/>
          <w:color w:val="6B6560"/>
          <w:sz w:val="21"/>
          <w:szCs w:val="21"/>
        </w:rPr>
        <w:t xml:space="preserve">Maison Mirage possède un produit exceptionnel, une direction artistique qui joue dans la cour des grands, et un positionnement unique sur le marché français. Le site est une belle vitrine contemplative — il doit devenir une machine à convertir. L’écart entre la qualité du produit et l’efficacité commerciale du site représente un manque à gagner considérable. Les 5 quick wins identifiés peuvent être implémentés en moins d’une semaine et générer un impact mesurable dès le premier mois.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6"/>
        <w:szCs w:val="16"/>
      </w:rPr>
      <w:t xml:space="preserve">Page </w:t>
    </w:r>
    <w:r>
      <w:rPr>
        <w:rFonts w:ascii="Arial" w:cs="Arial" w:eastAsia="Arial" w:hAnsi="Arial"/>
        <w:color w:val="6B656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6"/>
        <w:szCs w:val="16"/>
      </w:rPr>
      <w:t xml:space="preserve">Page </w:t>
    </w:r>
    <w:r>
      <w:rPr>
        <w:rFonts w:ascii="Arial" w:cs="Arial" w:eastAsia="Arial" w:hAnsi="Arial"/>
        <w:color w:val="6B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560"/>
        <w:sz w:val="16"/>
        <w:szCs w:val="16"/>
      </w:rPr>
      <w:t xml:space="preserve">Audit 360° — Maison Mirage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560"/>
        <w:sz w:val="16"/>
        <w:szCs w:val="16"/>
      </w:rPr>
      <w:t xml:space="preserve">Audit 360° — Maison Mirage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714"/>
      <w:sz w:val="36"/>
      <w:szCs w:val="36"/>
    </w:rPr>
  </w:style>
  <w:style w:type="paragraph" w:styleId="Heading2">
    <w:name w:val="Heading 2"/>
    <w:basedOn w:val="Normal"/>
    <w:next w:val="Normal"/>
    <w:qFormat/>
    <w:pPr>
      <w:spacing w:after="150" w:before="300"/>
      <w:outlineLvl w:val="1"/>
    </w:pPr>
    <w:rPr>
      <w:rFonts w:ascii="Georgia" w:cs="Georgia" w:eastAsia="Georgia" w:hAnsi="Georgia"/>
      <w:b/>
      <w:bCs/>
      <w:color w:val="A889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2026-03-11T11:44:59.796Z</dcterms:created>
  <dcterms:modified xsi:type="dcterms:W3CDTF">2026-03-11T11:44:59.796Z</dcterms:modified>
</cp:coreProperties>
</file>

<file path=docProps/custom.xml><?xml version="1.0" encoding="utf-8"?>
<Properties xmlns="http://schemas.openxmlformats.org/officeDocument/2006/custom-properties" xmlns:vt="http://schemas.openxmlformats.org/officeDocument/2006/docPropsVTypes"/>
</file>