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 w:line="320"/>
      </w:pPr>
      <w:r>
        <w:rPr>
          <w:rFonts w:ascii="Consolas" w:cs="Consolas" w:eastAsia="Consolas" w:hAnsi="Consolas"/>
          <w:color w:val="A8895C"/>
          <w:sz w:val="20"/>
          <w:szCs w:val="20"/>
        </w:rPr>
        <w:t xml:space="preserve">ROADMAP STRATÉGIQUE</w:t>
      </w:r>
    </w:p>
    <w:p>
      <w:pPr>
        <w:spacing w:after="120" w:line="320"/>
      </w:pPr>
      <w:r>
        <w:rPr>
          <w:rFonts w:ascii="Georgia" w:cs="Georgia" w:eastAsia="Georgia" w:hAnsi="Georgia"/>
          <w:color w:val="1A1714"/>
          <w:sz w:val="72"/>
          <w:szCs w:val="72"/>
        </w:rPr>
        <w:t xml:space="preserve">Maison Mirage</w:t>
      </w:r>
    </w:p>
    <w:p>
      <w:pPr>
        <w:spacing w:after="120" w:line="320"/>
      </w:pPr>
      <w:r>
        <w:rPr>
          <w:rFonts w:ascii="Georgia" w:cs="Georgia" w:eastAsia="Georgia" w:hAnsi="Georgia"/>
          <w:i/>
          <w:iCs/>
          <w:color w:val="C9AA7C"/>
          <w:sz w:val="28"/>
          <w:szCs w:val="28"/>
        </w:rPr>
        <w:t xml:space="preserve">Plan d’action 360° — Du Quick Win à la transformation</w:t>
      </w:r>
    </w:p>
    <w:p>
      <w:pPr>
        <w:pBdr>
          <w:bottom w:val="single" w:color="A8895C" w:sz="6" w:space="16"/>
        </w:pBdr>
        <w:spacing w:after="400"/>
      </w:pPr>
    </w:p>
    <w:p>
      <w:pPr>
        <w:spacing w:after="120" w:line="320"/>
      </w:pPr>
      <w:r>
        <w:rPr>
          <w:rFonts w:ascii="Consolas" w:cs="Consolas" w:eastAsia="Consolas" w:hAnsi="Consolas"/>
          <w:color w:val="6B6560"/>
          <w:sz w:val="18"/>
          <w:szCs w:val="18"/>
        </w:rPr>
        <w:t xml:space="preserve">Mars 2026 — Document de travail interne</w:t>
      </w:r>
    </w:p>
    <w:p>
      <w:pPr>
        <w:spacing w:after="200"/>
      </w:pPr>
    </w:p>
    <w:p>
      <w:pPr>
        <w:spacing w:after="120" w:line="320"/>
      </w:pPr>
      <w:r>
        <w:rPr>
          <w:rFonts w:ascii="Calibri" w:cs="Calibri" w:eastAsia="Calibri" w:hAnsi="Calibri"/>
          <w:color w:val="6B6560"/>
          <w:sz w:val="22"/>
          <w:szCs w:val="22"/>
        </w:rPr>
        <w:t xml:space="preserve">Ce document détaille les spécifications techniques, les maquettes fonctionnelles et la timeline d’exécution pour chaque recommandation de l’audit 360°. Il est destiné au développeur front-end et au responsable marketing.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Bdr>
          <w:bottom w:val="single" w:color="A8895C" w:sz="4" w:space="8"/>
        </w:pBdr>
        <w:spacing w:after="200" w:before="400"/>
      </w:pPr>
      <w:r>
        <w:rPr>
          <w:rFonts w:ascii="Consolas" w:cs="Consolas" w:eastAsia="Consolas" w:hAnsi="Consolas"/>
          <w:b/>
          <w:bCs/>
          <w:color w:val="A8895C"/>
          <w:sz w:val="22"/>
          <w:szCs w:val="22"/>
        </w:rPr>
        <w:t xml:space="preserve">0. </w:t>
      </w: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Quick Wins déployés (implémentés)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Les 5 modifications suivantes ont été appliquées directement au code source du site :</w:t>
      </w:r>
    </w:p>
    <w:p>
      <w:pPr>
        <w:spacing w:after="80"/>
      </w:pP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QW1 — Vidéo hero above-the-fold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L’image statique hero-flatlay.webp a été remplacée par la vidéo peche-decoupe.mp4 en autoplay muted loop. Le poster de la vidéo utilise le flatlay comme fallback pour les navigateurs qui ne supportent pas la lecture automatique.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Fichier modifié : index.html (section hero-right, ligne 166-169)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Impact attendu : +20-35% de temps passé sur la page, compréhension immédiate du concept trompe-l’œil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Note : prévoir un asset vidéo optimisé (&lt;2MB) montrant la découpe d’un fruit. L’idéal serait un contenu filmé spécifiquement pour le hero (format paysage, 16:9)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QW2 — Sticky CTA bar post-scroll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Un bandeau fixe apparaît en haut de page dès que l’utilisateur scrolle au-delà du hero. Il contient 3 éléments de réassurance et un CTA doré «Demander un devis».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Fichiers modifiés : index.html (après &lt;/header&gt;), styles.css (.sticky-cta-bar)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Trigger : GSAP ScrollTrigger déclenche .visible quand le hero sort du viewport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Mobile : les réassurances sont masquées, seul le CTA reste visible et centré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QW3 — Navigation desktop sur les pages produit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Le composant nav-desktop-links (Catalogue, L’Atelier, Événements) a été ajouté aux 9 pages produit qui n’en disposaient pas.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Fichiers modifiés : produit-fraise.html, produit-mangue.html, produit-framboise.html, produit-peche.html, produit-citron.html, produit-passion.html, produit-cacao.html, produit-arachide.html, produit-vanille.html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QW4 — Retrait des faux compteurs Reels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Les métriques fictives (4.8k likes, 312 commentaires) ont été retirées de l’overlay vidéo. Le username a été changé de «julie.mrsl» à «@maisonmirage» et la caption remplacée par un message de marque authentique.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Les icônes (cœur, commentaire, partage) sont conservées pour l’esthétique Reels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Impact : élimination du risque de perte de crédibilité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QW5 — Section portrait fondateur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Nouvelle section «7a. Fondateur» ajoutée entre l’atelier-teaser et les garanties. Contient un placeholder image, le nom Hamza Hamdi, son titre, une bio et un CTA vers l’atelier.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Action requise : remplacer le SVG placeholder par la vraie photo de Hamza (format portrait 3:4, min 600x800px)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Impact : +confiance, connexion émotionnelle, autorité (principe de Cialdini)</w:t>
      </w:r>
    </w:p>
    <w:p>
      <w:r>
        <w:br w:type="page"/>
      </w:r>
    </w:p>
    <w:p>
      <w:pPr>
        <w:pBdr>
          <w:bottom w:val="single" w:color="A8895C" w:sz="4" w:space="8"/>
        </w:pBdr>
        <w:spacing w:after="200" w:before="400"/>
      </w:pPr>
      <w:r>
        <w:rPr>
          <w:rFonts w:ascii="Consolas" w:cs="Consolas" w:eastAsia="Consolas" w:hAnsi="Consolas"/>
          <w:b/>
          <w:bCs/>
          <w:color w:val="A8895C"/>
          <w:sz w:val="22"/>
          <w:szCs w:val="22"/>
        </w:rPr>
        <w:t xml:space="preserve">1. </w:t>
      </w: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Phase Court Terme (Semaines 1-4)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1.1 — Micro-configurateur de devis interactif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A8895C"/>
          <w:sz w:val="22"/>
          <w:szCs w:val="22"/>
        </w:rPr>
        <w:t xml:space="preserve">Objectif : </w:t>
      </w:r>
      <w:r>
        <w:rPr>
          <w:rFonts w:ascii="Calibri" w:cs="Calibri" w:eastAsia="Calibri" w:hAnsi="Calibri"/>
          <w:color w:val="1A1714"/>
          <w:sz w:val="22"/>
          <w:szCs w:val="22"/>
        </w:rPr>
        <w:t xml:space="preserve">Transformer le tunnel de conversion passif en expérience interactive.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Spécifications fonctionnelles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Bouton «Ajouter au devis» sur chaque carte produit (shop-card) et page produit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Panier flottant (sidebar droite ou bottom sheet mobile) qui accumule les sélections avec quantités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Calcul en temps réel : coût total, marge estimée («avec un prix de revente à 12€, votre marge serait de X€/mois»)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Sélection de la fréquence de livraison (hebdomadaire, bi-hebdomadaire, mensuelle)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CTA final «Envoyer mon devis personnalisé» qui pré-remplit le formulaire partenaires.html avec les sélections</w:t>
      </w:r>
    </w:p>
    <w:p>
      <w:pPr>
        <w:spacing w:after="80"/>
      </w:pP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6B6560"/>
          <w:sz w:val="22"/>
          <w:szCs w:val="22"/>
        </w:rPr>
        <w:t xml:space="preserve">Stack technique : </w:t>
      </w:r>
      <w:r>
        <w:rPr>
          <w:rFonts w:ascii="Calibri" w:cs="Calibri" w:eastAsia="Calibri" w:hAnsi="Calibri"/>
          <w:color w:val="1A1714"/>
          <w:sz w:val="22"/>
          <w:szCs w:val="22"/>
        </w:rPr>
        <w:t xml:space="preserve">JavaScript vanilla (cohérent avec le site existant), localStorage pour persistance inter-page, GSAP pour les animations du panier.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6B6560"/>
          <w:sz w:val="22"/>
          <w:szCs w:val="22"/>
        </w:rPr>
        <w:t xml:space="preserve">Effort estimé : </w:t>
      </w:r>
      <w:r>
        <w:rPr>
          <w:rFonts w:ascii="Calibri" w:cs="Calibri" w:eastAsia="Calibri" w:hAnsi="Calibri"/>
          <w:color w:val="1A1714"/>
          <w:sz w:val="22"/>
          <w:szCs w:val="22"/>
        </w:rPr>
        <w:t xml:space="preserve">3-5 jours de développement front-end.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A8895C"/>
          <w:sz w:val="22"/>
          <w:szCs w:val="22"/>
        </w:rPr>
        <w:t xml:space="preserve">KPI : </w:t>
      </w:r>
      <w:r>
        <w:rPr>
          <w:rFonts w:ascii="Calibri" w:cs="Calibri" w:eastAsia="Calibri" w:hAnsi="Calibri"/>
          <w:color w:val="1A1714"/>
          <w:sz w:val="22"/>
          <w:szCs w:val="22"/>
        </w:rPr>
        <w:t xml:space="preserve">Taux de conversion formulaire (objectif : +40% vs formulaire générique actuel).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1.2 — Page «Notre Histoire»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Créer une page dédiée à l’histoire de Maison Mirage et de Hamza Hamdi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Parcours du fondateur, genèse du projet, vision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Timeline visuelle de la marque (2023: R&amp;D, 2024: lancement, 2025: 15+ partenaires)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Photos d’atelier en coulisses (shooting dédié recommandé)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Intégration d’une vidéo portrait du fondateur (30-60s)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6B6560"/>
          <w:sz w:val="22"/>
          <w:szCs w:val="22"/>
        </w:rPr>
        <w:t xml:space="preserve">Effort : </w:t>
      </w:r>
      <w:r>
        <w:rPr>
          <w:rFonts w:ascii="Calibri" w:cs="Calibri" w:eastAsia="Calibri" w:hAnsi="Calibri"/>
          <w:color w:val="1A1714"/>
          <w:sz w:val="22"/>
          <w:szCs w:val="22"/>
        </w:rPr>
        <w:t xml:space="preserve">2 jours (design + intégration) + 1 journée shooting photo.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1.3 — Section «Ils parlent de nous» (Presse &amp; Autorité)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Ajouter une section de mentions presse/média après les témoignages partenaires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Contacter 3-5 blogs food/lifestyle marseillais pour des articles (Marsactu, Made in Marseille, blogs food locaux)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Solliciter des micro-influenceurs food TikTok/Instagram pour des reviews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Afficher les logos médias + citations courtes dans une section dédiée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 pas encore de couverture média : envoyer un communiqué de presse avec kit média (photos haute résolution + dossier de presse)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1.4 — Collections éphémères &amp; Rareté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Définir un calendrier de «drops» saisonniers pour créer de la rareté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Printemps 2026 : Collection «Jardin Éphémère» (3-4 pièces fruitées de saison)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Été 2026 : Collection «Mirage Estival» (pièces glacées/sorbet)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Chaque collection avec badge «Édition Limitée» + countdown timer sur les cards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Teasing Instagram/TikTok 1 semaine avant le drop</w:t>
      </w:r>
    </w:p>
    <w:p>
      <w:r>
        <w:br w:type="page"/>
      </w:r>
    </w:p>
    <w:p>
      <w:pPr>
        <w:pBdr>
          <w:bottom w:val="single" w:color="A8895C" w:sz="4" w:space="8"/>
        </w:pBdr>
        <w:spacing w:after="200" w:before="400"/>
      </w:pPr>
      <w:r>
        <w:rPr>
          <w:rFonts w:ascii="Consolas" w:cs="Consolas" w:eastAsia="Consolas" w:hAnsi="Consolas"/>
          <w:b/>
          <w:bCs/>
          <w:color w:val="A8895C"/>
          <w:sz w:val="22"/>
          <w:szCs w:val="22"/>
        </w:rPr>
        <w:t xml:space="preserve">2. </w:t>
      </w: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Phase Moyen Terme (Mois 2-3)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2.1 — Stratégie de contenu &amp; SEO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Créer un blog intégré au site avec 3 pilliers de contenu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Pilier 1 — Coulisses d’atelier : vidéos et articles sur le processus de fabrication (keyword: «pâtisserie trompe-l’œil artisanale»)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Pilier 2 — Guides B2B : «Comment intégrer un dessert premium à votre carte», «5 raisons de proposer du trompe-l’œil en restaurant»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Pilier 3 — Case studies partenaires : interviews détaillées avec métriques (avant/après ticket moyen, photos in-situ)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6B6560"/>
          <w:sz w:val="22"/>
          <w:szCs w:val="22"/>
        </w:rPr>
        <w:t xml:space="preserve">Fréquence : </w:t>
      </w:r>
      <w:r>
        <w:rPr>
          <w:rFonts w:ascii="Calibri" w:cs="Calibri" w:eastAsia="Calibri" w:hAnsi="Calibri"/>
          <w:color w:val="1A1714"/>
          <w:sz w:val="22"/>
          <w:szCs w:val="22"/>
        </w:rPr>
        <w:t xml:space="preserve">2 articles/mois minimum. Chaque article est une porte d’entrée SEO et un outil de nurturing email.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6B6560"/>
          <w:sz w:val="22"/>
          <w:szCs w:val="22"/>
        </w:rPr>
        <w:t xml:space="preserve">Stack : </w:t>
      </w:r>
      <w:r>
        <w:rPr>
          <w:rFonts w:ascii="Calibri" w:cs="Calibri" w:eastAsia="Calibri" w:hAnsi="Calibri"/>
          <w:color w:val="1A1714"/>
          <w:sz w:val="22"/>
          <w:szCs w:val="22"/>
        </w:rPr>
        <w:t xml:space="preserve">Pages statiques HTML (cohérent avec le site) ou CMS headless léger (Decap CMS, Tina CMS) pour autonomie rédactionnelle.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2.2 — Optimisation technique (Performance &amp; a11y)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Chantier d’optimisation technique pour les Core Web Vitals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Audit CSS avec PurgeCSS — éliminer le dead code des 88KB actuels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Scinder styles.css en modules (nav.css, hero.css, shop.css, forms.css) — chargement conditionnel par page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Externaliser le JS inline (~40KB) dans un main.js minifié + lazy-loading chatbot/modal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Corriger les ratios de contraste WCAG AA : --ink-muted à #5A524D, micro-textes à 0.7rem minimum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Ajouter :focus-visible custom, alt textes descriptifs sur tous les avatars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Ajouter le breakpoint 1024px pour les grids tablette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A8895C"/>
          <w:sz w:val="22"/>
          <w:szCs w:val="22"/>
        </w:rPr>
        <w:t xml:space="preserve">Mesure : </w:t>
      </w:r>
      <w:r>
        <w:rPr>
          <w:rFonts w:ascii="Calibri" w:cs="Calibri" w:eastAsia="Calibri" w:hAnsi="Calibri"/>
          <w:color w:val="1A1714"/>
          <w:sz w:val="22"/>
          <w:szCs w:val="22"/>
        </w:rPr>
        <w:t xml:space="preserve">Lighthouse score &gt; 90 sur les 4 métriques (Performance, Accessibility, Best Practices, SEO).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2.3 — Email nurturing &amp; CRM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Exploiter le lead magnet existant (catalogue PDF) pour construire un funnel email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Séquence d’onboarding en 4 emails : J+0 catalogue, J+3 témoignage client, J+7 vidéo atelier, J+14 offre dégustation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Newsletter mensuelle : nouvelles créations, coulisses, actus partenaires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Segmentation B2B/événements pour des contenus ciblés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6B6560"/>
          <w:sz w:val="22"/>
          <w:szCs w:val="22"/>
        </w:rPr>
        <w:t xml:space="preserve">Stack : </w:t>
      </w:r>
      <w:r>
        <w:rPr>
          <w:rFonts w:ascii="Calibri" w:cs="Calibri" w:eastAsia="Calibri" w:hAnsi="Calibri"/>
          <w:color w:val="1A1714"/>
          <w:sz w:val="22"/>
          <w:szCs w:val="22"/>
        </w:rPr>
        <w:t xml:space="preserve">Brevo (ex-Sendinblue) — plan gratuit jusqu’à 300 emails/jour, suffisant pour démarrer. Intégration via Formspree webhook.</w:t>
      </w:r>
    </w:p>
    <w:p>
      <w:r>
        <w:br w:type="page"/>
      </w:r>
    </w:p>
    <w:p>
      <w:pPr>
        <w:pBdr>
          <w:bottom w:val="single" w:color="A8895C" w:sz="4" w:space="8"/>
        </w:pBdr>
        <w:spacing w:after="200" w:before="400"/>
      </w:pPr>
      <w:r>
        <w:rPr>
          <w:rFonts w:ascii="Consolas" w:cs="Consolas" w:eastAsia="Consolas" w:hAnsi="Consolas"/>
          <w:b/>
          <w:bCs/>
          <w:color w:val="A8895C"/>
          <w:sz w:val="22"/>
          <w:szCs w:val="22"/>
        </w:rPr>
        <w:t xml:space="preserve">3. </w:t>
      </w: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Phase Long Terme (Mois 3-6)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3.1 — Expansion B2C : Projet Klépierre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Le PDF d’implantation révèle un projet de kiosque en centre commercial (10-15m², vitrines type joaillerie). Le site devra servir deux audiences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Parcours B2B (actuel) : partenariats restauration, événements, devis volumes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Parcours B2C (nouveau) : vente directe, click &amp; collect, coffrets cadeaux, carte cadeau digitale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Architecture proposée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Homepage avec gateway : «Je suis professionnel» / «Je suis particulier» (détection automatique par cookie après 1er choix)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Sous-domaine ou section dédiée pour le B2C (boutique.lamaisonmirage.com ou /boutique)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Système de click &amp; collect avec créneaux horaires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Panier e-commerce classique avec paiement en ligne (Stripe)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6B6560"/>
          <w:sz w:val="22"/>
          <w:szCs w:val="22"/>
        </w:rPr>
        <w:t xml:space="preserve">Effort : </w:t>
      </w:r>
      <w:r>
        <w:rPr>
          <w:rFonts w:ascii="Calibri" w:cs="Calibri" w:eastAsia="Calibri" w:hAnsi="Calibri"/>
          <w:color w:val="1A1714"/>
          <w:sz w:val="22"/>
          <w:szCs w:val="22"/>
        </w:rPr>
        <w:t xml:space="preserve">6-8 semaines de développement. Budget estimé : 5-8K€ si externalisé, ou ~3 semaines full-time si interne.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3.2 — Analytics &amp; Experimentation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Mettre en place une culture data-driven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Google Analytics 4 : déjà installé (G-JCL4B8SJY0), configurer les conversions (formulaire soumis, email capturé, chat ouvert)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Hotjar ou Microsoft Clarity : heatmaps et session recordings pour identifier les zones mortes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A/B testing via Google Optimize ou VWO : tester les variations de hero (vidéo vs image), les CTA (couleur, wording), la position des témoignages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Dashboard mensuel : taux de rebond, temps moyen, taux de conversion par source de trafic</w:t>
      </w:r>
    </w:p>
    <w:p>
      <w:pPr>
        <w:spacing w:after="120" w:before="280"/>
      </w:pPr>
      <w:r>
        <w:rPr>
          <w:rFonts w:ascii="Calibri" w:cs="Calibri" w:eastAsia="Calibri" w:hAnsi="Calibri"/>
          <w:color w:val="A8895C"/>
          <w:sz w:val="22"/>
          <w:szCs w:val="22"/>
        </w:rPr>
        <w:t xml:space="preserve">— </w:t>
      </w:r>
      <w:r>
        <w:rPr>
          <w:rFonts w:ascii="Georgia" w:cs="Georgia" w:eastAsia="Georgia" w:hAnsi="Georgia"/>
          <w:b/>
          <w:bCs/>
          <w:color w:val="1A1714"/>
          <w:sz w:val="24"/>
          <w:szCs w:val="24"/>
        </w:rPr>
        <w:t xml:space="preserve">3.3 — Stratégie sociale organique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Capitaliser sur la viralité naturelle du produit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Cadence TikTok : 3-4 vidéos/semaine (découpes satisfaisantes, making-of, reactions clients)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Instagram Reels : reposts des contenus clients (UGC) avec tag @maisonmirage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Programme ambassadeur : offrir des pièces aux food influenceurs locaux en échange de création de contenu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Objectif : 10K followers Instagram en 6 mois (base pour de la preuve sociale vérifiable)</w:t>
      </w:r>
    </w:p>
    <w:p>
      <w:r>
        <w:br w:type="page"/>
      </w:r>
    </w:p>
    <w:p>
      <w:pPr>
        <w:pBdr>
          <w:bottom w:val="single" w:color="A8895C" w:sz="4" w:space="8"/>
        </w:pBdr>
        <w:spacing w:after="200" w:before="400"/>
      </w:pPr>
      <w:r>
        <w:rPr>
          <w:rFonts w:ascii="Consolas" w:cs="Consolas" w:eastAsia="Consolas" w:hAnsi="Consolas"/>
          <w:b/>
          <w:bCs/>
          <w:color w:val="A8895C"/>
          <w:sz w:val="22"/>
          <w:szCs w:val="22"/>
        </w:rPr>
        <w:t xml:space="preserve">4. </w:t>
      </w: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Roadmap consolidée</w:t>
      </w:r>
    </w:p>
    <w:p>
      <w:pPr>
        <w:spacing w:after="120" w:line="3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Vue d’ensemble de toutes les actions classées par priorité et timeline :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1400"/>
        <w:gridCol w:w="1800"/>
        <w:gridCol w:w="1038"/>
      </w:tblGrid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1A17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AF5E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1A17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AF5E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1A17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AF5E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1A17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AF5EF"/>
                <w:sz w:val="18"/>
                <w:szCs w:val="18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1A17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AF5EF"/>
                <w:sz w:val="18"/>
                <w:szCs w:val="18"/>
              </w:rPr>
              <w:t xml:space="preserve">KPI cible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1A17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AF5E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S0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Vidéo hero above-the-fold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Dev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FAIT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Temps sur page +25%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S0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Sticky CTA bar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Dev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FAIT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Clic CTA +15%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S0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Nav desktop pages produit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Dev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FAIT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Bounce rate -5%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S0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Retrait faux compteurs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Dev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FAIT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Crédibilité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S0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Section fondateur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Dev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FAIT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Confiance +10%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S1-2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Photo fondateur (shooting)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Mktg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 sem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Section complète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S1-3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Micro-configurateur devis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Dev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3-5j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Conv. +40%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S2-3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Page Notre Histoire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Dev+Mktg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2j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Autorité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S2-4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Section presse/média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Mktg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2-4 sem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3+ mentions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S3-4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Collections éphémères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Mktg+Prod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Taux revisite +20%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A8895C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M2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Blog &amp; SEO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Mktg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Trafic organique +30%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A8895C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M2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Optimisation technique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Dev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 sem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Lighthouse &gt; 90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A8895C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M2-3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Email nurturing (Brevo)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Mktg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 sem setup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rate &gt; 35%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A8895C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M3-6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Expansion B2C (Klépierre)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All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6-8 sem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 B2C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7AE6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M3+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Analytics &amp; A/B testing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Mktg+Dev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Setup 2j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Conv. globale +25%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7AE6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8895C"/>
                <w:sz w:val="18"/>
                <w:szCs w:val="18"/>
              </w:rPr>
              <w:t xml:space="preserve">M3+</w:t>
            </w:r>
          </w:p>
        </w:tc>
        <w:tc>
          <w:tcPr>
            <w:tcW w:type="dxa" w:w="30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Stratégie TikTok/IG</w:t>
            </w:r>
          </w:p>
        </w:tc>
        <w:tc>
          <w:tcPr>
            <w:tcW w:type="dxa" w:w="12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Mktg</w:t>
            </w:r>
          </w:p>
        </w:tc>
        <w:tc>
          <w:tcPr>
            <w:tcW w:type="dxa" w:w="14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10K followers/6 mois</w:t>
            </w:r>
          </w:p>
        </w:tc>
        <w:tc>
          <w:tcPr>
            <w:tcW w:type="dxa" w:w="1038"/>
            <w:tcBorders>
              <w:top w:val="single" w:color="D5D0CA" w:sz="1"/>
              <w:left w:val="single" w:color="D5D0CA" w:sz="1"/>
              <w:bottom w:val="single" w:color="D5D0CA" w:sz="1"/>
              <w:right w:val="single" w:color="D5D0CA" w:sz="1"/>
            </w:tcBorders>
            <w:shd w:fill="F5F0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7AE60"/>
                <w:sz w:val="18"/>
                <w:szCs w:val="18"/>
              </w:rPr>
              <w:t xml:space="preserve">P3</w:t>
            </w:r>
          </w:p>
        </w:tc>
      </w:tr>
    </w:tbl>
    <w:p>
      <w:pPr>
        <w:spacing w:after="300"/>
      </w:pPr>
    </w:p>
    <w:p>
      <w:pPr>
        <w:pBdr>
          <w:top w:val="single" w:color="A8895C" w:sz="4" w:space="16"/>
        </w:pBdr>
        <w:spacing w:after="200" w:before="200"/>
      </w:pP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Prochaines étapes immédiates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Remplacer le placeholder fondateur par une vraie photo de Hamza (priorité n°1)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Tester le site mis à jour en staging et valider les 5 quick wins déployés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Lancer le développement du micro-configurateur de devis (semaine prochaine)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Planifier le shooting photo atelier + portrait fondateur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Contacter 3 blogs food marseillais pour des articles de lancement</w:t>
      </w:r>
    </w:p>
    <w:p>
      <w:pPr>
        <w:spacing w:after="200"/>
      </w:pPr>
    </w:p>
    <w:p>
      <w:pPr>
        <w:spacing w:after="120" w:line="320"/>
      </w:pPr>
      <w:r>
        <w:rPr>
          <w:rFonts w:ascii="Georgia" w:cs="Georgia" w:eastAsia="Georgia" w:hAnsi="Georgia"/>
          <w:i/>
          <w:iCs/>
          <w:color w:val="A8895C"/>
          <w:sz w:val="22"/>
          <w:szCs w:val="22"/>
        </w:rPr>
        <w:t xml:space="preserve">Ce plan est vivant. Chaque phase doit être validée par les KPIs avant de passer à la suivante.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6B6560"/>
        <w:sz w:val="16"/>
        <w:szCs w:val="16"/>
      </w:rPr>
      <w:t xml:space="preserve">Page </w:t>
    </w:r>
    <w:r>
      <w:rPr>
        <w:rFonts w:ascii="Consolas" w:cs="Consolas" w:eastAsia="Consolas" w:hAnsi="Consolas"/>
        <w:color w:val="6B65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onsolas" w:cs="Consolas" w:eastAsia="Consolas" w:hAnsi="Consolas"/>
        <w:color w:val="6B6560"/>
        <w:sz w:val="16"/>
        <w:szCs w:val="16"/>
      </w:rPr>
      <w:t xml:space="preserve">Maison Mirage — Roadmap Stratégique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A17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1A17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2026-03-11T12:42:15.861Z</dcterms:created>
  <dcterms:modified xsi:type="dcterms:W3CDTF">2026-03-11T12:42:15.862Z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